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5BE" w:rsidRPr="002178CB" w:rsidRDefault="009265BE" w:rsidP="009265BE">
      <w:pPr>
        <w:ind w:left="122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Anexo 17</w:t>
      </w:r>
    </w:p>
    <w:p w:rsidR="009265BE" w:rsidRPr="002178CB" w:rsidRDefault="009265BE" w:rsidP="009265BE">
      <w:pPr>
        <w:ind w:left="122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Experiencia y Especialidad</w:t>
      </w:r>
    </w:p>
    <w:p w:rsidR="009265BE" w:rsidRPr="002178CB" w:rsidRDefault="009265BE" w:rsidP="009265BE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y</w:t>
      </w:r>
    </w:p>
    <w:p w:rsidR="009265BE" w:rsidRPr="002178CB" w:rsidRDefault="009265BE" w:rsidP="009265BE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Cumplimiento de Contratos</w:t>
      </w:r>
    </w:p>
    <w:p w:rsidR="009265BE" w:rsidRPr="002178CB" w:rsidRDefault="009265BE" w:rsidP="009265BE">
      <w:pPr>
        <w:ind w:left="125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5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El presente Anexo se presentan los requisitos que deberá acreditarse para calificar los Rubros Experiencia y Especialidad y de Cumplimiento de Contratos según se establece en el Anexo 1</w:t>
      </w:r>
      <w:r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2</w:t>
      </w: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 xml:space="preserve"> “Matriz de Evaluación por Puntos”. Para la presentación de la información a evaluar, el licitante deberá utilizar el Anexo 17Bis.</w:t>
      </w:r>
    </w:p>
    <w:p w:rsidR="009265BE" w:rsidRPr="002178CB" w:rsidRDefault="009265BE" w:rsidP="009265BE">
      <w:pPr>
        <w:ind w:left="125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5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spacing w:val="1"/>
          <w:sz w:val="24"/>
          <w:szCs w:val="24"/>
          <w:lang w:val="es-MX"/>
        </w:rPr>
        <w:t>RUBRO: EXPERIENCIA Y ESPECIALIDAD</w:t>
      </w:r>
    </w:p>
    <w:p w:rsidR="009265BE" w:rsidRPr="002178CB" w:rsidRDefault="009265BE" w:rsidP="009265BE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En el Anexo 1</w:t>
      </w:r>
      <w:r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2</w:t>
      </w: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 xml:space="preserve"> “Matriz de Evaluación por Puntos” se solicita la acreditación de Experiencia y Especialidad del licitante. Para acreditar dichos requisitos, a continuación, se presentan los criterios a considerar para la asignación del puntaje en cada caso.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pStyle w:val="Prrafodelista"/>
        <w:numPr>
          <w:ilvl w:val="0"/>
          <w:numId w:val="2"/>
        </w:numPr>
        <w:ind w:left="122" w:right="74" w:firstLine="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acreditar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EXPERIENCIA (10 contratos máximo)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, el licitante deberá presentar contratos, convenios, pedidos u </w:t>
      </w:r>
      <w:proofErr w:type="spellStart"/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ordenes</w:t>
      </w:r>
      <w:proofErr w:type="spellEnd"/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de trabajo o servicio formalizados, vigentes o concluidos, los cuales deberán ser adjuntados en copia simple. Estos convenios o contratos deberán haber sido celebrados dentro de los últimos 10 años con entidades públicas o privadas. Se podrán añadir los anexos técnicos o cualquier otro documento que se considere necesario para verificar que el objeto del contrato es SIMILAR al objeto requerido por este Concurso. 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evaluará la acreditación del tiempo que el Licitante ha prestado servicios o ejecutado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PROYECTOS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SIMILARES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a los requeridos en el presente procedimiento de contratación, para estos efectos el objeto de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los contratos deberá consistir en la ejecución de proyectos de diseño, suministro o instalación o puesta en marcha de equipo de audio y video para salas de juntas, videoconferencia o proyección multimedia</w:t>
      </w:r>
      <w:r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Con los contratos presentados deberá acreditar lo siguiente: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Que para cada contrato el servicio se haya prestado 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>de manera individual o combinada al menos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para 8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(ocho) salas de juntas, auditorios, conferencias o espacios de proyección multimedia, y</w:t>
      </w:r>
    </w:p>
    <w:p w:rsidR="009265BE" w:rsidRPr="002178CB" w:rsidRDefault="009265BE" w:rsidP="009265BE">
      <w:pPr>
        <w:pStyle w:val="Prrafodelista"/>
        <w:ind w:left="14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Que cuente con Experiencia de 60 (sesenta) meses, pudiéndola comprobar este requisito acumulando las vigencias de entre los 10 contratos que presente.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lastRenderedPageBreak/>
        <w:t>Se otorgarán 0.000 (cero) puntos si no se acredita la experiencia igual o mayor a 24 meses.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1.500 (uno punto quinientos) puntos si la experiencia acumulada es menor a 60 (sesenta) meses, pero igual o mayor a 24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(veinticuatro) meses.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3.000 (tres) puntos al licitante que acredite experiencia de 60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(sesenta) meses.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hAnsi="Arial" w:cs="Arial"/>
          <w:b/>
          <w:bCs/>
          <w:sz w:val="24"/>
          <w:szCs w:val="24"/>
        </w:rPr>
        <w:t>2.</w:t>
      </w:r>
      <w:r w:rsidRPr="002178CB">
        <w:rPr>
          <w:rFonts w:ascii="Arial" w:hAnsi="Arial" w:cs="Arial"/>
          <w:sz w:val="24"/>
          <w:szCs w:val="24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acreditar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 xml:space="preserve">ESPECIALIDAD (5 contratos máximo)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el licitante deberá presentar contratos, convenios, pedidos u </w:t>
      </w:r>
      <w:proofErr w:type="spellStart"/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ordenes</w:t>
      </w:r>
      <w:proofErr w:type="spellEnd"/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de trabajo o servicio formalizados, vigentes o concluidos, los cuales deberán ser adjuntados en copia simple. Estos convenios o contratos deberán haber sido celebrados dentro de los últimos 10 años con entidades públicas o privadas. Se podrán añadir los anexos técnicos o cualquier otro documento que se considere necesario para verificar que el objeto del contrato es de la MISMA NATURALEZA al objeto requerido por este Concurso. 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evaluará la acreditación de la cantidad de contratos en los que el Licitante ha prestado servicios o ejecutado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PROYECTOS DE LA MISMA NATURALEZA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a los requeridos en el presente procedimiento de contratación, para estos efectos el objeto de los contratos deberá consistir en la ejecución de proyectos de diseño, suministro o instalación o puesta en marcha de equipo de audio y video para salas de juntas, videoconferencia o proyección multimedia, dentro de los cuales </w:t>
      </w:r>
      <w:r w:rsidR="00AF33DE">
        <w:rPr>
          <w:rFonts w:ascii="Arial" w:eastAsia="Arial Narrow" w:hAnsi="Arial" w:cs="Arial"/>
          <w:spacing w:val="1"/>
          <w:sz w:val="24"/>
          <w:szCs w:val="24"/>
          <w:lang w:val="es-MX"/>
        </w:rPr>
        <w:t>se hayan incluido por lo menos 4</w:t>
      </w:r>
      <w:bookmarkStart w:id="0" w:name="_GoBack"/>
      <w:bookmarkEnd w:id="0"/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de los siguientes servicios.</w:t>
      </w: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265BE" w:rsidRPr="002178CB" w:rsidTr="00A657F8">
        <w:tc>
          <w:tcPr>
            <w:tcW w:w="8828" w:type="dxa"/>
          </w:tcPr>
          <w:p w:rsidR="009265BE" w:rsidRPr="002178CB" w:rsidRDefault="009265BE" w:rsidP="00A657F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8CB">
              <w:rPr>
                <w:rFonts w:ascii="Arial" w:hAnsi="Arial" w:cs="Arial"/>
                <w:b/>
                <w:bCs/>
                <w:sz w:val="24"/>
                <w:szCs w:val="24"/>
              </w:rPr>
              <w:t>Servicios materia del contrato para acreditar ESPECIALIDAD</w:t>
            </w:r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>Suministro e instalación de Muro de Video</w:t>
            </w:r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>Suministro e instalación de sistema de Sonido Ambiental</w:t>
            </w:r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>Suministro e instalación de equipamiento de Audio y Video y Automatización en salas de juntas</w:t>
            </w:r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 xml:space="preserve">Suministro e instalación de equipamiento en Salas con </w:t>
            </w:r>
            <w:proofErr w:type="spellStart"/>
            <w:r w:rsidRPr="002178CB">
              <w:rPr>
                <w:rFonts w:ascii="Arial" w:hAnsi="Arial" w:cs="Arial"/>
                <w:sz w:val="24"/>
                <w:szCs w:val="24"/>
              </w:rPr>
              <w:t>Telepresencia</w:t>
            </w:r>
            <w:proofErr w:type="spellEnd"/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>Diseño o puesta en marcha de sistema de reserva de salas</w:t>
            </w:r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>Diseño o puesta en marcha de Señalización Digital</w:t>
            </w:r>
          </w:p>
        </w:tc>
      </w:tr>
      <w:tr w:rsidR="009265BE" w:rsidRPr="002178CB" w:rsidTr="00A657F8">
        <w:tc>
          <w:tcPr>
            <w:tcW w:w="8828" w:type="dxa"/>
          </w:tcPr>
          <w:p w:rsidR="009265BE" w:rsidRPr="002178CB" w:rsidRDefault="009265BE" w:rsidP="009265B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8CB">
              <w:rPr>
                <w:rFonts w:ascii="Arial" w:hAnsi="Arial" w:cs="Arial"/>
                <w:sz w:val="24"/>
                <w:szCs w:val="24"/>
              </w:rPr>
              <w:t>Capacitación en la operación y uso de sistemas de audio y video.</w:t>
            </w:r>
          </w:p>
        </w:tc>
      </w:tr>
    </w:tbl>
    <w:p w:rsidR="009265BE" w:rsidRPr="002178CB" w:rsidRDefault="009265BE" w:rsidP="009265BE">
      <w:pPr>
        <w:ind w:left="122"/>
        <w:jc w:val="both"/>
        <w:rPr>
          <w:rFonts w:ascii="Arial" w:hAnsi="Arial" w:cs="Arial"/>
          <w:sz w:val="24"/>
          <w:szCs w:val="24"/>
        </w:rPr>
      </w:pPr>
    </w:p>
    <w:p w:rsidR="009265BE" w:rsidRPr="002178CB" w:rsidRDefault="009265BE" w:rsidP="009265BE">
      <w:pPr>
        <w:ind w:left="122"/>
        <w:jc w:val="both"/>
        <w:rPr>
          <w:rFonts w:ascii="Arial" w:hAnsi="Arial" w:cs="Arial"/>
          <w:sz w:val="24"/>
          <w:szCs w:val="24"/>
        </w:rPr>
      </w:pP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cada contrato que se presente para acreditar ESPECIALIDAD, el servicio se haya prestado 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>de manera individual o combinada al menos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para 8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(ocho)</w:t>
      </w: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0.000 (cero) puntos si presenta un contrato o no presenta contratos que cumplan con los requisitos de ESPECIALIDAD solicitados.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lastRenderedPageBreak/>
        <w:t>Se otorgarán 0.625(cero puntos seiscientos veinticinco puntos) si presenta 2(DOS) contratos que cumplan con los requisitos de ESPECIALIDAD solicitados.</w:t>
      </w: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1.250 (uno punto doscientos cincuenta puntos) si presenta 3(TRES) contratos que cumplan con los requisitos de ESPECIALIDAD solicitados.</w:t>
      </w:r>
    </w:p>
    <w:p w:rsidR="009265BE" w:rsidRPr="002178CB" w:rsidRDefault="009265BE" w:rsidP="009265BE">
      <w:pPr>
        <w:ind w:left="122"/>
        <w:rPr>
          <w:rFonts w:ascii="Arial" w:hAnsi="Arial" w:cs="Arial"/>
          <w:b/>
          <w:bCs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1.500 (uno punto quinientos) puntos si presenta 4(CUATRO) contratos que cumplan con los requisitos de ESPECIALIDAD solicitados.</w:t>
      </w:r>
    </w:p>
    <w:p w:rsidR="009265BE" w:rsidRPr="002178CB" w:rsidRDefault="009265BE" w:rsidP="009265BE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3.000 (tres) puntos al licitante que acredite 5(CINCO) contratos que cumplan con los requisitos de ESPECIALIDAD solicitados.</w:t>
      </w:r>
    </w:p>
    <w:p w:rsidR="009265BE" w:rsidRPr="002178CB" w:rsidRDefault="009265BE" w:rsidP="009265BE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:rsidR="009265BE" w:rsidRPr="002178CB" w:rsidRDefault="009265BE" w:rsidP="009265BE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:rsidR="009265BE" w:rsidRPr="002178CB" w:rsidRDefault="009265BE" w:rsidP="009265BE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spacing w:val="1"/>
          <w:sz w:val="24"/>
          <w:szCs w:val="24"/>
          <w:lang w:val="es-MX"/>
        </w:rPr>
        <w:t>RUBRO: CUMPLIMIENTO DE CONTRATOS</w:t>
      </w:r>
    </w:p>
    <w:p w:rsidR="009265BE" w:rsidRDefault="009265BE" w:rsidP="009265BE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br/>
        <w:t>Los contratos para acreditar cumplimiento podrán ser los mismos con los que acredite Experiencia y/o Especialidad siempre que adjunte los documentos con los que indubitablemente se acredite la extinción de obligaciones. En este caso no será necesario que agregue dos copias del mismo contrato.</w:t>
      </w:r>
    </w:p>
    <w:p w:rsidR="009265BE" w:rsidRPr="002178CB" w:rsidRDefault="009265BE" w:rsidP="009265BE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Para acreditar el cumplimiento de contratos, el licitante deberá adjuntar:</w:t>
      </w: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a) Copia de contratos cumplidos los que deberán tener objeto similar al de la presente licitación (suministro, instalación y capacitación para equipamiento de laboratorios).</w:t>
      </w: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br/>
        <w:t>b) Comprobantes de extinción de obligaciones, por ejemplo: acta de entrega recepción, finiquitos, liberación de fianza, comprobantes con los que se acredite el pago total del contrato o cualquier otro documento oficial mediante el que acredite indubitablemente que las obligaciones quedaron extintas en tiempo y forma.</w:t>
      </w:r>
    </w:p>
    <w:p w:rsidR="009265BE" w:rsidRPr="002178CB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Default="009265BE" w:rsidP="009265BE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c) Los contratos con los que acredite este rubro deberán ser de PROYECTOS SIMILARES o de PROYECTOS DE LA MISMA NATURALEZA, según la descripción que al respecto se hace para el Rubro de Experiencia y Especialidad.</w:t>
      </w:r>
    </w:p>
    <w:p w:rsidR="009265BE" w:rsidRPr="002178CB" w:rsidRDefault="009265BE" w:rsidP="009265BE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:rsidR="009265BE" w:rsidRPr="002178CB" w:rsidRDefault="009265BE" w:rsidP="009265BE">
      <w:pPr>
        <w:rPr>
          <w:rFonts w:ascii="Arial" w:eastAsia="Arial Narrow" w:hAnsi="Arial" w:cs="Arial"/>
          <w:lang w:val="es-MX"/>
        </w:rPr>
      </w:pPr>
    </w:p>
    <w:p w:rsidR="009B1E4B" w:rsidRDefault="009B1E4B"/>
    <w:sectPr w:rsidR="009B1E4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77359">
      <w:r>
        <w:separator/>
      </w:r>
    </w:p>
  </w:endnote>
  <w:endnote w:type="continuationSeparator" w:id="0">
    <w:p w:rsidR="00000000" w:rsidRDefault="0067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Helvetica-Normal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77359">
      <w:r>
        <w:separator/>
      </w:r>
    </w:p>
  </w:footnote>
  <w:footnote w:type="continuationSeparator" w:id="0">
    <w:p w:rsidR="00000000" w:rsidRDefault="0067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132305159"/>
  <w:bookmarkStart w:id="2" w:name="_Hlk56311241"/>
  <w:bookmarkStart w:id="3" w:name="_Hlk56311242"/>
  <w:bookmarkStart w:id="4" w:name="_Hlk56311364"/>
  <w:bookmarkStart w:id="5" w:name="_Hlk56311365"/>
  <w:p w:rsidR="00E00AE1" w:rsidRPr="00FC1596" w:rsidRDefault="009265BE" w:rsidP="00E00AE1">
    <w:pPr>
      <w:pStyle w:val="Encabezado"/>
      <w:jc w:val="center"/>
      <w:rPr>
        <w:rFonts w:ascii="Helvetica" w:hAnsi="Helvetica" w:cs="Helvetica"/>
      </w:rPr>
    </w:pPr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0904CF" wp14:editId="140A48B3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215E66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" strokecolor="#5b9bd5 [3204]" strokeweight=".5pt">
              <v:stroke joinstyle="miter"/>
            </v:line>
          </w:pict>
        </mc:Fallback>
      </mc:AlternateContent>
    </w:r>
    <w:r w:rsidRPr="00FC1596">
      <w:rPr>
        <w:rFonts w:ascii="Helvetica" w:hAnsi="Helvetica" w:cs="Helvetica"/>
      </w:rPr>
      <w:t>Universidad Autónoma del Estado de Hidalgo</w:t>
    </w:r>
  </w:p>
  <w:p w:rsidR="00E00AE1" w:rsidRPr="00B81CE2" w:rsidRDefault="00677359" w:rsidP="00E00AE1">
    <w:pPr>
      <w:pStyle w:val="Encabezado"/>
      <w:jc w:val="center"/>
      <w:rPr>
        <w:rFonts w:ascii="Helvetica-Normal" w:hAnsi="Helvetica-Normal" w:cs="Arial"/>
      </w:rPr>
    </w:pPr>
  </w:p>
  <w:bookmarkEnd w:id="1"/>
  <w:p w:rsidR="00EC03E0" w:rsidRPr="00E00AE1" w:rsidRDefault="009265BE" w:rsidP="00E00AE1">
    <w:pPr>
      <w:jc w:val="center"/>
      <w:rPr>
        <w:rFonts w:ascii="Helvetica" w:hAnsi="Helvetica" w:cs="Helvetica"/>
        <w:bCs/>
        <w:sz w:val="2"/>
        <w:szCs w:val="2"/>
      </w:rPr>
    </w:pPr>
    <w:r w:rsidRPr="00D90F94">
      <w:rPr>
        <w:rFonts w:ascii="Helvetica" w:hAnsi="Helvetica" w:cs="Helvetica"/>
        <w:bCs/>
        <w:color w:val="000000" w:themeColor="text1"/>
        <w:szCs w:val="14"/>
      </w:rPr>
      <w:t>Adquisición</w:t>
    </w:r>
    <w:r>
      <w:rPr>
        <w:rFonts w:ascii="Helvetica" w:hAnsi="Helvetica" w:cs="Helvetica"/>
        <w:bCs/>
        <w:color w:val="000000" w:themeColor="text1"/>
        <w:szCs w:val="14"/>
      </w:rPr>
      <w:t xml:space="preserve"> </w:t>
    </w:r>
    <w:r w:rsidRPr="00D90F94">
      <w:rPr>
        <w:rFonts w:ascii="Helvetica" w:hAnsi="Helvetica" w:cs="Helvetica"/>
        <w:bCs/>
        <w:color w:val="000000" w:themeColor="text1"/>
        <w:szCs w:val="14"/>
      </w:rPr>
      <w:t>de equipo multimedia para la Torre de Posgrado y para el Edificio Oriente de la Unidad Central de Laboratorios de la Universidad Autónoma del Estado de Hidalgo</w:t>
    </w:r>
  </w:p>
  <w:bookmarkEnd w:id="2"/>
  <w:bookmarkEnd w:id="3"/>
  <w:bookmarkEnd w:id="4"/>
  <w:bookmarkEnd w:id="5"/>
  <w:p w:rsidR="00506098" w:rsidRPr="00272551" w:rsidRDefault="006773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D2E"/>
    <w:multiLevelType w:val="hybridMultilevel"/>
    <w:tmpl w:val="7ADCB36A"/>
    <w:lvl w:ilvl="0" w:tplc="930A932E">
      <w:start w:val="1"/>
      <w:numFmt w:val="decimal"/>
      <w:lvlText w:val="%1."/>
      <w:lvlJc w:val="left"/>
      <w:pPr>
        <w:ind w:left="482" w:hanging="360"/>
      </w:pPr>
      <w:rPr>
        <w:rFonts w:ascii="Arial Narrow" w:eastAsia="Arial Narrow" w:hAnsi="Arial Narrow" w:cs="Arial Narrow"/>
      </w:rPr>
    </w:lvl>
    <w:lvl w:ilvl="1" w:tplc="080A000F">
      <w:start w:val="1"/>
      <w:numFmt w:val="decimal"/>
      <w:lvlText w:val="%2."/>
      <w:lvlJc w:val="left"/>
      <w:pPr>
        <w:ind w:left="1202" w:hanging="360"/>
      </w:pPr>
    </w:lvl>
    <w:lvl w:ilvl="2" w:tplc="080A001B">
      <w:start w:val="1"/>
      <w:numFmt w:val="lowerRoman"/>
      <w:lvlText w:val="%3."/>
      <w:lvlJc w:val="right"/>
      <w:pPr>
        <w:ind w:left="1922" w:hanging="180"/>
      </w:pPr>
    </w:lvl>
    <w:lvl w:ilvl="3" w:tplc="080A000F">
      <w:start w:val="1"/>
      <w:numFmt w:val="decimal"/>
      <w:lvlText w:val="%4."/>
      <w:lvlJc w:val="left"/>
      <w:pPr>
        <w:ind w:left="2642" w:hanging="360"/>
      </w:pPr>
    </w:lvl>
    <w:lvl w:ilvl="4" w:tplc="080A0019">
      <w:start w:val="1"/>
      <w:numFmt w:val="lowerLetter"/>
      <w:lvlText w:val="%5."/>
      <w:lvlJc w:val="left"/>
      <w:pPr>
        <w:ind w:left="3362" w:hanging="360"/>
      </w:pPr>
    </w:lvl>
    <w:lvl w:ilvl="5" w:tplc="080A001B">
      <w:start w:val="1"/>
      <w:numFmt w:val="lowerRoman"/>
      <w:lvlText w:val="%6."/>
      <w:lvlJc w:val="right"/>
      <w:pPr>
        <w:ind w:left="4082" w:hanging="180"/>
      </w:pPr>
    </w:lvl>
    <w:lvl w:ilvl="6" w:tplc="080A000F">
      <w:start w:val="1"/>
      <w:numFmt w:val="decimal"/>
      <w:lvlText w:val="%7."/>
      <w:lvlJc w:val="left"/>
      <w:pPr>
        <w:ind w:left="4802" w:hanging="360"/>
      </w:pPr>
    </w:lvl>
    <w:lvl w:ilvl="7" w:tplc="080A0019">
      <w:start w:val="1"/>
      <w:numFmt w:val="lowerLetter"/>
      <w:lvlText w:val="%8."/>
      <w:lvlJc w:val="left"/>
      <w:pPr>
        <w:ind w:left="5522" w:hanging="360"/>
      </w:pPr>
    </w:lvl>
    <w:lvl w:ilvl="8" w:tplc="080A001B">
      <w:start w:val="1"/>
      <w:numFmt w:val="lowerRoman"/>
      <w:lvlText w:val="%9."/>
      <w:lvlJc w:val="right"/>
      <w:pPr>
        <w:ind w:left="6242" w:hanging="180"/>
      </w:pPr>
    </w:lvl>
  </w:abstractNum>
  <w:abstractNum w:abstractNumId="1" w15:restartNumberingAfterBreak="0">
    <w:nsid w:val="117161AF"/>
    <w:multiLevelType w:val="hybridMultilevel"/>
    <w:tmpl w:val="8DE62140"/>
    <w:lvl w:ilvl="0" w:tplc="5D5ABC78">
      <w:numFmt w:val="bullet"/>
      <w:lvlText w:val="•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C79FD"/>
    <w:multiLevelType w:val="hybridMultilevel"/>
    <w:tmpl w:val="CDB2CEEE"/>
    <w:lvl w:ilvl="0" w:tplc="13DADF16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2" w:hanging="360"/>
      </w:pPr>
    </w:lvl>
    <w:lvl w:ilvl="2" w:tplc="080A001B" w:tentative="1">
      <w:start w:val="1"/>
      <w:numFmt w:val="lowerRoman"/>
      <w:lvlText w:val="%3."/>
      <w:lvlJc w:val="right"/>
      <w:pPr>
        <w:ind w:left="1922" w:hanging="180"/>
      </w:pPr>
    </w:lvl>
    <w:lvl w:ilvl="3" w:tplc="080A000F" w:tentative="1">
      <w:start w:val="1"/>
      <w:numFmt w:val="decimal"/>
      <w:lvlText w:val="%4."/>
      <w:lvlJc w:val="left"/>
      <w:pPr>
        <w:ind w:left="2642" w:hanging="360"/>
      </w:pPr>
    </w:lvl>
    <w:lvl w:ilvl="4" w:tplc="080A0019" w:tentative="1">
      <w:start w:val="1"/>
      <w:numFmt w:val="lowerLetter"/>
      <w:lvlText w:val="%5."/>
      <w:lvlJc w:val="left"/>
      <w:pPr>
        <w:ind w:left="3362" w:hanging="360"/>
      </w:pPr>
    </w:lvl>
    <w:lvl w:ilvl="5" w:tplc="080A001B" w:tentative="1">
      <w:start w:val="1"/>
      <w:numFmt w:val="lowerRoman"/>
      <w:lvlText w:val="%6."/>
      <w:lvlJc w:val="right"/>
      <w:pPr>
        <w:ind w:left="4082" w:hanging="180"/>
      </w:pPr>
    </w:lvl>
    <w:lvl w:ilvl="6" w:tplc="080A000F" w:tentative="1">
      <w:start w:val="1"/>
      <w:numFmt w:val="decimal"/>
      <w:lvlText w:val="%7."/>
      <w:lvlJc w:val="left"/>
      <w:pPr>
        <w:ind w:left="4802" w:hanging="360"/>
      </w:pPr>
    </w:lvl>
    <w:lvl w:ilvl="7" w:tplc="080A0019" w:tentative="1">
      <w:start w:val="1"/>
      <w:numFmt w:val="lowerLetter"/>
      <w:lvlText w:val="%8."/>
      <w:lvlJc w:val="left"/>
      <w:pPr>
        <w:ind w:left="5522" w:hanging="360"/>
      </w:pPr>
    </w:lvl>
    <w:lvl w:ilvl="8" w:tplc="080A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BE"/>
    <w:rsid w:val="00677359"/>
    <w:rsid w:val="009265BE"/>
    <w:rsid w:val="009B1E4B"/>
    <w:rsid w:val="00AD3801"/>
    <w:rsid w:val="00AF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8AB6F"/>
  <w15:chartTrackingRefBased/>
  <w15:docId w15:val="{28B58C1A-15B1-49A2-B73E-9DCD2DC0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locked/>
    <w:rsid w:val="009265B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Dot pt,No Spacing1"/>
    <w:basedOn w:val="Normal"/>
    <w:link w:val="PrrafodelistaCar"/>
    <w:uiPriority w:val="34"/>
    <w:qFormat/>
    <w:rsid w:val="009265BE"/>
    <w:pPr>
      <w:ind w:left="720"/>
      <w:contextualSpacing/>
    </w:pPr>
  </w:style>
  <w:style w:type="table" w:styleId="Tablaconcuadrcula">
    <w:name w:val="Table Grid"/>
    <w:basedOn w:val="Tablanormal"/>
    <w:uiPriority w:val="39"/>
    <w:rsid w:val="0092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265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65B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33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33DE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916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Jocelyn Saldaña Cortes</dc:creator>
  <cp:keywords/>
  <dc:description/>
  <cp:lastModifiedBy>Adriana Jocelyn Saldaña Cortes</cp:lastModifiedBy>
  <cp:revision>4</cp:revision>
  <cp:lastPrinted>2023-09-19T19:22:00Z</cp:lastPrinted>
  <dcterms:created xsi:type="dcterms:W3CDTF">2023-09-18T22:09:00Z</dcterms:created>
  <dcterms:modified xsi:type="dcterms:W3CDTF">2023-09-19T19:29:00Z</dcterms:modified>
</cp:coreProperties>
</file>