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666BB" w14:textId="77777777" w:rsidR="008C5F60" w:rsidRPr="00196717" w:rsidRDefault="008C5F60" w:rsidP="008C5F60">
      <w:pPr>
        <w:pStyle w:val="Ttulo1"/>
        <w:tabs>
          <w:tab w:val="center" w:pos="4419"/>
          <w:tab w:val="left" w:pos="6540"/>
        </w:tabs>
        <w:jc w:val="center"/>
        <w:rPr>
          <w:rFonts w:ascii="Helvetica-Normal" w:hAnsi="Helvetica-Normal" w:cs="Arial"/>
          <w:b/>
          <w:sz w:val="20"/>
          <w:szCs w:val="20"/>
        </w:rPr>
      </w:pPr>
      <w:bookmarkStart w:id="0" w:name="_Toc134709445"/>
      <w:r w:rsidRPr="00196717">
        <w:rPr>
          <w:rFonts w:ascii="Helvetica-Normal" w:hAnsi="Helvetica-Normal" w:cs="Arial"/>
          <w:b/>
          <w:sz w:val="20"/>
          <w:szCs w:val="20"/>
        </w:rPr>
        <w:t>Anexo 13A</w:t>
      </w:r>
      <w:bookmarkEnd w:id="0"/>
    </w:p>
    <w:p w14:paraId="78FFDBB6" w14:textId="77777777" w:rsidR="008C5F60" w:rsidRPr="00196717" w:rsidRDefault="008C5F60" w:rsidP="008C5F60">
      <w:pPr>
        <w:spacing w:after="0" w:line="240" w:lineRule="auto"/>
        <w:jc w:val="center"/>
        <w:rPr>
          <w:rFonts w:ascii="Helvetica-Normal" w:hAnsi="Helvetica-Normal" w:cs="Arial"/>
          <w:b/>
          <w:sz w:val="20"/>
          <w:szCs w:val="24"/>
        </w:rPr>
      </w:pPr>
      <w:r w:rsidRPr="00196717">
        <w:rPr>
          <w:rFonts w:ascii="Helvetica-Normal" w:hAnsi="Helvetica-Normal" w:cs="Arial"/>
          <w:b/>
          <w:sz w:val="20"/>
          <w:szCs w:val="24"/>
        </w:rPr>
        <w:t xml:space="preserve">Pólizas de seguro para el parque vehicular de la UAEH </w:t>
      </w:r>
    </w:p>
    <w:p w14:paraId="0A9CD5C6" w14:textId="77777777" w:rsidR="008C5F60" w:rsidRPr="00196717" w:rsidRDefault="008C5F60" w:rsidP="008C5F60">
      <w:pPr>
        <w:spacing w:after="0" w:line="240" w:lineRule="auto"/>
        <w:jc w:val="center"/>
        <w:rPr>
          <w:rFonts w:ascii="Helvetica" w:hAnsi="Helvetica" w:cs="Arial"/>
          <w:b/>
          <w:szCs w:val="24"/>
        </w:rPr>
      </w:pPr>
    </w:p>
    <w:p w14:paraId="3DC1BBC3" w14:textId="77777777" w:rsidR="008C5F60" w:rsidRPr="00196717" w:rsidRDefault="008C5F60" w:rsidP="008C5F60">
      <w:pPr>
        <w:spacing w:after="0" w:line="240" w:lineRule="auto"/>
        <w:rPr>
          <w:rFonts w:ascii="Helvetica" w:hAnsi="Helvetica" w:cs="Arial"/>
          <w:b/>
          <w:color w:val="000000"/>
          <w:szCs w:val="24"/>
          <w:u w:val="single"/>
          <w:lang w:eastAsia="es-MX"/>
        </w:rPr>
      </w:pPr>
    </w:p>
    <w:p w14:paraId="4C4CEF79" w14:textId="77777777" w:rsidR="008C5F60" w:rsidRPr="00196717" w:rsidRDefault="008C5F60" w:rsidP="008C5F60">
      <w:pPr>
        <w:spacing w:after="0" w:line="240" w:lineRule="auto"/>
        <w:rPr>
          <w:rFonts w:ascii="Helvetica-Normal" w:hAnsi="Helvetica-Normal" w:cs="Arial"/>
          <w:b/>
          <w:color w:val="000000"/>
          <w:sz w:val="20"/>
          <w:szCs w:val="20"/>
          <w:u w:val="single"/>
          <w:lang w:eastAsia="es-MX"/>
        </w:rPr>
      </w:pPr>
      <w:r w:rsidRPr="00196717">
        <w:rPr>
          <w:rFonts w:ascii="Helvetica-Normal" w:hAnsi="Helvetica-Normal" w:cs="Arial"/>
          <w:b/>
          <w:color w:val="000000"/>
          <w:sz w:val="20"/>
          <w:szCs w:val="20"/>
          <w:u w:val="single"/>
          <w:lang w:eastAsia="es-MX"/>
        </w:rPr>
        <w:t xml:space="preserve">Requerimientos </w:t>
      </w:r>
    </w:p>
    <w:p w14:paraId="3E8BC14F" w14:textId="77777777" w:rsidR="008C5F60" w:rsidRPr="00196717" w:rsidRDefault="008C5F60" w:rsidP="008C5F60">
      <w:pPr>
        <w:spacing w:after="0" w:line="240" w:lineRule="auto"/>
        <w:rPr>
          <w:rFonts w:ascii="Helvetica-Normal" w:hAnsi="Helvetica-Normal" w:cs="Arial"/>
          <w:b/>
          <w:color w:val="000000"/>
          <w:sz w:val="20"/>
          <w:szCs w:val="20"/>
          <w:lang w:eastAsia="es-MX"/>
        </w:rPr>
      </w:pPr>
    </w:p>
    <w:p w14:paraId="1283D110" w14:textId="5A6BDFFD" w:rsidR="008C5F60" w:rsidRPr="00196717" w:rsidRDefault="008C5F60" w:rsidP="008C5F60">
      <w:pPr>
        <w:spacing w:after="0" w:line="240" w:lineRule="auto"/>
        <w:jc w:val="both"/>
        <w:rPr>
          <w:rFonts w:ascii="Helvetica-Normal" w:hAnsi="Helvetica-Normal" w:cs="Arial"/>
          <w:sz w:val="20"/>
          <w:szCs w:val="20"/>
        </w:rPr>
      </w:pPr>
      <w:r w:rsidRPr="00196717">
        <w:rPr>
          <w:rFonts w:ascii="Helvetica-Normal" w:hAnsi="Helvetica-Normal" w:cs="Arial"/>
          <w:sz w:val="20"/>
          <w:szCs w:val="20"/>
        </w:rPr>
        <w:t>Adquisición d</w:t>
      </w:r>
      <w:r w:rsidR="00AE52AD" w:rsidRPr="00196717">
        <w:rPr>
          <w:rFonts w:ascii="Helvetica-Normal" w:hAnsi="Helvetica-Normal" w:cs="Arial"/>
          <w:sz w:val="20"/>
          <w:szCs w:val="20"/>
        </w:rPr>
        <w:t>e pólizas de seguro para los 140</w:t>
      </w:r>
      <w:r w:rsidRPr="00196717">
        <w:rPr>
          <w:rFonts w:ascii="Helvetica-Normal" w:hAnsi="Helvetica-Normal" w:cs="Arial"/>
          <w:sz w:val="20"/>
          <w:szCs w:val="20"/>
        </w:rPr>
        <w:t xml:space="preserve"> vehículos que integran la flotilla del parque vehicular, distribuido en un concepto único de tres bloques y cuatro coberturas, desglose de vehículos en el </w:t>
      </w:r>
      <w:r w:rsidRPr="00196717">
        <w:rPr>
          <w:rFonts w:ascii="Helvetica-Normal" w:hAnsi="Helvetica-Normal" w:cs="Arial"/>
          <w:b/>
          <w:sz w:val="20"/>
          <w:szCs w:val="20"/>
        </w:rPr>
        <w:t xml:space="preserve">Anexo </w:t>
      </w:r>
      <w:r w:rsidRPr="00196717">
        <w:rPr>
          <w:rFonts w:ascii="Helvetica-Normal" w:hAnsi="Helvetica-Normal" w:cs="Arial"/>
          <w:sz w:val="20"/>
          <w:szCs w:val="20"/>
        </w:rPr>
        <w:t xml:space="preserve">en formato Excel. </w:t>
      </w:r>
    </w:p>
    <w:p w14:paraId="65F812B9" w14:textId="77777777" w:rsidR="008C5F60" w:rsidRPr="00196717" w:rsidRDefault="008C5F60" w:rsidP="008C5F60">
      <w:pPr>
        <w:spacing w:after="0" w:line="240" w:lineRule="auto"/>
        <w:jc w:val="both"/>
        <w:rPr>
          <w:rFonts w:ascii="Helvetica-Normal" w:hAnsi="Helvetica-Normal" w:cs="Arial"/>
          <w:sz w:val="20"/>
          <w:szCs w:val="20"/>
        </w:rPr>
      </w:pPr>
    </w:p>
    <w:p w14:paraId="78F34115" w14:textId="77777777" w:rsidR="008C5F60" w:rsidRPr="00196717" w:rsidRDefault="008C5F60" w:rsidP="008C5F60">
      <w:pPr>
        <w:spacing w:after="0" w:line="240" w:lineRule="auto"/>
        <w:jc w:val="center"/>
        <w:rPr>
          <w:rFonts w:ascii="Helvetica-Normal" w:hAnsi="Helvetica-Normal" w:cs="Arial"/>
          <w:b/>
          <w:bCs/>
          <w:sz w:val="20"/>
          <w:szCs w:val="20"/>
        </w:rPr>
      </w:pPr>
      <w:r w:rsidRPr="00196717">
        <w:rPr>
          <w:rFonts w:ascii="Helvetica-Normal" w:hAnsi="Helvetica-Normal" w:cs="Arial"/>
          <w:b/>
          <w:bCs/>
          <w:sz w:val="20"/>
          <w:szCs w:val="20"/>
        </w:rPr>
        <w:t>Concepto único</w:t>
      </w:r>
    </w:p>
    <w:p w14:paraId="2714C8D4" w14:textId="77777777" w:rsidR="008C5F60" w:rsidRPr="00196717" w:rsidRDefault="008C5F60" w:rsidP="008C5F60">
      <w:pPr>
        <w:spacing w:after="0" w:line="240" w:lineRule="auto"/>
        <w:jc w:val="both"/>
        <w:rPr>
          <w:rFonts w:ascii="Helvetica-Normal" w:hAnsi="Helvetica-Normal" w:cs="Arial"/>
          <w:sz w:val="20"/>
          <w:szCs w:val="20"/>
        </w:rPr>
      </w:pPr>
    </w:p>
    <w:p w14:paraId="63692CC7" w14:textId="0C4B5E1C" w:rsidR="008C5F60" w:rsidRPr="00196717" w:rsidRDefault="008C5F60" w:rsidP="008C5F60">
      <w:pPr>
        <w:spacing w:after="0" w:line="240" w:lineRule="auto"/>
        <w:jc w:val="both"/>
        <w:rPr>
          <w:rFonts w:ascii="Helvetica-Normal" w:hAnsi="Helvetica-Normal" w:cs="Arial"/>
          <w:sz w:val="20"/>
          <w:szCs w:val="20"/>
        </w:rPr>
      </w:pPr>
      <w:r w:rsidRPr="00196717">
        <w:rPr>
          <w:rFonts w:ascii="Helvetica-Normal" w:hAnsi="Helvetica-Normal" w:cs="Arial"/>
          <w:b/>
          <w:sz w:val="20"/>
          <w:szCs w:val="20"/>
        </w:rPr>
        <w:t>Bloque 1:</w:t>
      </w:r>
      <w:r w:rsidRPr="00196717">
        <w:rPr>
          <w:rFonts w:ascii="Helvetica-Normal" w:hAnsi="Helvetica-Normal" w:cs="Arial"/>
          <w:sz w:val="20"/>
          <w:szCs w:val="20"/>
        </w:rPr>
        <w:t xml:space="preserve"> Partidas 1 a la 9</w:t>
      </w:r>
      <w:r w:rsidR="00AE52AD" w:rsidRPr="00196717">
        <w:rPr>
          <w:rFonts w:ascii="Helvetica-Normal" w:hAnsi="Helvetica-Normal" w:cs="Arial"/>
          <w:sz w:val="20"/>
          <w:szCs w:val="20"/>
        </w:rPr>
        <w:t>0</w:t>
      </w:r>
      <w:r w:rsidRPr="00196717">
        <w:rPr>
          <w:rFonts w:ascii="Helvetica-Normal" w:hAnsi="Helvetica-Normal" w:cs="Arial"/>
          <w:sz w:val="20"/>
          <w:szCs w:val="20"/>
        </w:rPr>
        <w:t>.</w:t>
      </w:r>
    </w:p>
    <w:p w14:paraId="54E7BE3C" w14:textId="77777777" w:rsidR="008C5F60" w:rsidRPr="00196717" w:rsidRDefault="008C5F60" w:rsidP="008C5F60">
      <w:pPr>
        <w:spacing w:after="0" w:line="240" w:lineRule="auto"/>
        <w:jc w:val="both"/>
        <w:rPr>
          <w:rFonts w:ascii="Helvetica-Normal" w:hAnsi="Helvetica-Normal" w:cs="Arial"/>
          <w:sz w:val="20"/>
          <w:szCs w:val="20"/>
        </w:rPr>
      </w:pPr>
    </w:p>
    <w:p w14:paraId="5979EBDF" w14:textId="6385330E" w:rsidR="008C5F60" w:rsidRPr="00196717" w:rsidRDefault="008C5F60" w:rsidP="008C5F60">
      <w:pPr>
        <w:spacing w:after="0" w:line="240" w:lineRule="auto"/>
        <w:jc w:val="both"/>
        <w:rPr>
          <w:rFonts w:ascii="Helvetica-Normal" w:hAnsi="Helvetica-Normal" w:cs="Arial"/>
          <w:sz w:val="20"/>
          <w:szCs w:val="20"/>
        </w:rPr>
      </w:pPr>
      <w:r w:rsidRPr="00196717">
        <w:rPr>
          <w:rFonts w:ascii="Helvetica-Normal" w:hAnsi="Helvetica-Normal" w:cs="Arial"/>
          <w:sz w:val="20"/>
          <w:szCs w:val="20"/>
        </w:rPr>
        <w:t xml:space="preserve">Periodo de póliza: De las 12:00 </w:t>
      </w:r>
      <w:proofErr w:type="spellStart"/>
      <w:r w:rsidRPr="00196717">
        <w:rPr>
          <w:rFonts w:ascii="Helvetica-Normal" w:hAnsi="Helvetica-Normal" w:cs="Arial"/>
          <w:sz w:val="20"/>
          <w:szCs w:val="20"/>
        </w:rPr>
        <w:t>hrs</w:t>
      </w:r>
      <w:proofErr w:type="spellEnd"/>
      <w:r w:rsidRPr="00196717">
        <w:rPr>
          <w:rFonts w:ascii="Helvetica-Normal" w:hAnsi="Helvetica-Normal" w:cs="Arial"/>
          <w:sz w:val="20"/>
          <w:szCs w:val="20"/>
        </w:rPr>
        <w:t xml:space="preserve"> del </w:t>
      </w:r>
      <w:r w:rsidR="00E66D96" w:rsidRPr="00196717">
        <w:rPr>
          <w:rFonts w:ascii="Helvetica-Normal" w:hAnsi="Helvetica-Normal" w:cs="Arial"/>
          <w:sz w:val="20"/>
          <w:szCs w:val="20"/>
        </w:rPr>
        <w:t>12 julio</w:t>
      </w:r>
      <w:r w:rsidRPr="00196717">
        <w:rPr>
          <w:rFonts w:ascii="Helvetica-Normal" w:hAnsi="Helvetica-Normal" w:cs="Arial"/>
          <w:sz w:val="20"/>
          <w:szCs w:val="20"/>
        </w:rPr>
        <w:t xml:space="preserve"> de 2023 a las 12:00 </w:t>
      </w:r>
      <w:proofErr w:type="spellStart"/>
      <w:r w:rsidRPr="00196717">
        <w:rPr>
          <w:rFonts w:ascii="Helvetica-Normal" w:hAnsi="Helvetica-Normal" w:cs="Arial"/>
          <w:sz w:val="20"/>
          <w:szCs w:val="20"/>
        </w:rPr>
        <w:t>hrs</w:t>
      </w:r>
      <w:proofErr w:type="spellEnd"/>
      <w:r w:rsidRPr="00196717">
        <w:rPr>
          <w:rFonts w:ascii="Helvetica-Normal" w:hAnsi="Helvetica-Normal" w:cs="Arial"/>
          <w:sz w:val="20"/>
          <w:szCs w:val="20"/>
        </w:rPr>
        <w:t xml:space="preserve"> del </w:t>
      </w:r>
      <w:r w:rsidR="00E66D96" w:rsidRPr="00196717">
        <w:rPr>
          <w:rFonts w:ascii="Helvetica-Normal" w:hAnsi="Helvetica-Normal" w:cs="Arial"/>
          <w:sz w:val="20"/>
          <w:szCs w:val="20"/>
        </w:rPr>
        <w:t>12 de julio</w:t>
      </w:r>
      <w:r w:rsidRPr="00196717">
        <w:rPr>
          <w:rFonts w:ascii="Helvetica-Normal" w:hAnsi="Helvetica-Normal" w:cs="Arial"/>
          <w:sz w:val="20"/>
          <w:szCs w:val="20"/>
        </w:rPr>
        <w:t xml:space="preserve"> de 2024 </w:t>
      </w:r>
    </w:p>
    <w:p w14:paraId="355AAF51" w14:textId="61C81ABB" w:rsidR="008C5F60" w:rsidRPr="00196717" w:rsidRDefault="008C5F60" w:rsidP="008C5F60">
      <w:pPr>
        <w:spacing w:after="0" w:line="240" w:lineRule="auto"/>
        <w:jc w:val="both"/>
        <w:rPr>
          <w:rFonts w:ascii="Helvetica-Normal" w:hAnsi="Helvetica-Normal" w:cs="Arial"/>
          <w:b/>
          <w:sz w:val="20"/>
          <w:szCs w:val="20"/>
          <w:u w:val="single"/>
        </w:rPr>
      </w:pPr>
      <w:r w:rsidRPr="00196717">
        <w:rPr>
          <w:rFonts w:ascii="Helvetica-Normal" w:hAnsi="Helvetica-Normal" w:cs="Arial"/>
          <w:b/>
          <w:sz w:val="20"/>
          <w:szCs w:val="20"/>
          <w:u w:val="single"/>
        </w:rPr>
        <w:t>Cobertura 1:</w:t>
      </w:r>
      <w:r w:rsidRPr="00196717">
        <w:rPr>
          <w:rFonts w:ascii="Helvetica-Normal" w:hAnsi="Helvetica-Normal" w:cs="Arial"/>
          <w:b/>
          <w:sz w:val="20"/>
          <w:szCs w:val="20"/>
        </w:rPr>
        <w:t xml:space="preserve"> Aplicable para las partidas de la 1 a la 8</w:t>
      </w:r>
      <w:r w:rsidR="00AE52AD" w:rsidRPr="00196717">
        <w:rPr>
          <w:rFonts w:ascii="Helvetica-Normal" w:hAnsi="Helvetica-Normal" w:cs="Arial"/>
          <w:b/>
          <w:sz w:val="20"/>
          <w:szCs w:val="20"/>
        </w:rPr>
        <w:t>7</w:t>
      </w:r>
      <w:r w:rsidRPr="00196717">
        <w:rPr>
          <w:rFonts w:ascii="Helvetica-Normal" w:hAnsi="Helvetica-Normal" w:cs="Arial"/>
          <w:b/>
          <w:sz w:val="20"/>
          <w:szCs w:val="20"/>
        </w:rPr>
        <w:t>.</w:t>
      </w:r>
    </w:p>
    <w:p w14:paraId="73048014" w14:textId="77777777" w:rsidR="008C5F60" w:rsidRPr="00196717" w:rsidRDefault="008C5F60" w:rsidP="008C5F60">
      <w:pPr>
        <w:spacing w:after="0" w:line="240" w:lineRule="auto"/>
        <w:jc w:val="both"/>
        <w:rPr>
          <w:rFonts w:ascii="Helvetica-Normal" w:hAnsi="Helvetica-Normal" w:cs="Arial"/>
          <w:sz w:val="20"/>
          <w:szCs w:val="20"/>
        </w:rPr>
      </w:pPr>
    </w:p>
    <w:tbl>
      <w:tblPr>
        <w:tblW w:w="0" w:type="auto"/>
        <w:tblInd w:w="-5" w:type="dxa"/>
        <w:tblCellMar>
          <w:left w:w="70" w:type="dxa"/>
          <w:right w:w="70" w:type="dxa"/>
        </w:tblCellMar>
        <w:tblLook w:val="04A0" w:firstRow="1" w:lastRow="0" w:firstColumn="1" w:lastColumn="0" w:noHBand="0" w:noVBand="1"/>
      </w:tblPr>
      <w:tblGrid>
        <w:gridCol w:w="3608"/>
        <w:gridCol w:w="1290"/>
        <w:gridCol w:w="3074"/>
      </w:tblGrid>
      <w:tr w:rsidR="008C5F60" w:rsidRPr="00196717" w14:paraId="2C708E71"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EB26E50"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6E3EAE07"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75A740DE"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LIMITE DE RESPONSABILIDAD</w:t>
            </w:r>
          </w:p>
        </w:tc>
      </w:tr>
      <w:tr w:rsidR="008C5F60" w:rsidRPr="00196717" w14:paraId="79A239D9"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56063"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501F9FEA"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6846A7DA"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Valor comercial</w:t>
            </w:r>
          </w:p>
        </w:tc>
      </w:tr>
      <w:tr w:rsidR="008C5F60" w:rsidRPr="00196717" w14:paraId="5F45C446"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922A00"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056218B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F5A1E36"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3,000,000.00</w:t>
            </w:r>
          </w:p>
        </w:tc>
      </w:tr>
      <w:tr w:rsidR="008C5F60" w:rsidRPr="00196717" w14:paraId="0251E9C2"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79649"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shd w:val="clear" w:color="auto" w:fill="auto"/>
            <w:noWrap/>
            <w:vAlign w:val="bottom"/>
            <w:hideMark/>
          </w:tcPr>
          <w:p w14:paraId="769D34B9"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7FCA4FB"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3,160 UMAS</w:t>
            </w:r>
          </w:p>
        </w:tc>
      </w:tr>
      <w:tr w:rsidR="008C5F60" w:rsidRPr="00196717" w14:paraId="7FFBA90E"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17046"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4FBCFB2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FFB1FB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w:t>
            </w:r>
          </w:p>
        </w:tc>
      </w:tr>
      <w:tr w:rsidR="008C5F60" w:rsidRPr="00196717" w14:paraId="2BD3BB01"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18388"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0D6FE595"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8C72B45"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250,000.00</w:t>
            </w:r>
          </w:p>
        </w:tc>
      </w:tr>
      <w:tr w:rsidR="008C5F60" w:rsidRPr="00196717" w14:paraId="18A26AE6"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CD08"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16FBAA8A"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FCA22B5"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Amparada</w:t>
            </w:r>
          </w:p>
        </w:tc>
      </w:tr>
      <w:tr w:rsidR="008C5F60" w:rsidRPr="00196717" w14:paraId="18E2598D"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EBB7AC"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shd w:val="clear" w:color="auto" w:fill="auto"/>
            <w:noWrap/>
            <w:vAlign w:val="bottom"/>
            <w:hideMark/>
          </w:tcPr>
          <w:p w14:paraId="52F20B37"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2AA50CA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 libre kilometraje</w:t>
            </w:r>
          </w:p>
        </w:tc>
      </w:tr>
      <w:tr w:rsidR="008C5F60" w:rsidRPr="00196717" w14:paraId="735CC224"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9240A0"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0BC62221"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4B1803F6"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Valor comercial</w:t>
            </w:r>
          </w:p>
        </w:tc>
      </w:tr>
      <w:tr w:rsidR="008C5F60" w:rsidRPr="00196717" w14:paraId="424EF273"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0CDBF"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shd w:val="clear" w:color="auto" w:fill="auto"/>
            <w:noWrap/>
            <w:vAlign w:val="bottom"/>
            <w:hideMark/>
          </w:tcPr>
          <w:p w14:paraId="7631FD2A"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14:paraId="76CA19DC"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w:t>
            </w:r>
          </w:p>
        </w:tc>
      </w:tr>
      <w:tr w:rsidR="008C5F60" w:rsidRPr="00196717" w14:paraId="10C6B6AB" w14:textId="77777777" w:rsidTr="006D068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69B80469"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19CB"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D805EEF"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100,000.00</w:t>
            </w:r>
          </w:p>
        </w:tc>
      </w:tr>
    </w:tbl>
    <w:p w14:paraId="325A684F" w14:textId="77777777" w:rsidR="008C5F60" w:rsidRPr="00196717" w:rsidRDefault="008C5F60" w:rsidP="008C5F60">
      <w:pPr>
        <w:spacing w:after="0" w:line="240" w:lineRule="auto"/>
        <w:jc w:val="both"/>
        <w:rPr>
          <w:rFonts w:ascii="Helvetica-Normal" w:hAnsi="Helvetica-Normal" w:cs="Arial"/>
          <w:sz w:val="20"/>
          <w:szCs w:val="20"/>
        </w:rPr>
      </w:pPr>
      <w:r w:rsidRPr="00196717">
        <w:rPr>
          <w:rFonts w:ascii="Helvetica-Normal" w:hAnsi="Helvetica-Normal" w:cs="Arial"/>
          <w:sz w:val="20"/>
          <w:szCs w:val="20"/>
        </w:rPr>
        <w:t xml:space="preserve"> </w:t>
      </w:r>
    </w:p>
    <w:p w14:paraId="51605C4A" w14:textId="7BEB99AA" w:rsidR="008C5F60" w:rsidRPr="00196717" w:rsidRDefault="008C5F60" w:rsidP="008C5F60">
      <w:pPr>
        <w:spacing w:after="0" w:line="240" w:lineRule="auto"/>
        <w:jc w:val="both"/>
        <w:rPr>
          <w:rFonts w:ascii="Helvetica-Normal" w:hAnsi="Helvetica-Normal" w:cs="Arial"/>
          <w:b/>
          <w:sz w:val="20"/>
          <w:szCs w:val="20"/>
          <w:u w:val="single"/>
        </w:rPr>
      </w:pPr>
      <w:r w:rsidRPr="00196717">
        <w:rPr>
          <w:rFonts w:ascii="Helvetica-Normal" w:hAnsi="Helvetica-Normal" w:cs="Arial"/>
          <w:b/>
          <w:sz w:val="20"/>
          <w:szCs w:val="20"/>
          <w:u w:val="single"/>
        </w:rPr>
        <w:t>Cobertura 2:</w:t>
      </w:r>
      <w:r w:rsidRPr="00196717">
        <w:rPr>
          <w:rFonts w:ascii="Helvetica-Normal" w:hAnsi="Helvetica-Normal" w:cs="Arial"/>
          <w:b/>
          <w:sz w:val="20"/>
          <w:szCs w:val="20"/>
        </w:rPr>
        <w:t xml:space="preserve"> Aplicables para las partidas de la 8</w:t>
      </w:r>
      <w:r w:rsidR="00AE52AD" w:rsidRPr="00196717">
        <w:rPr>
          <w:rFonts w:ascii="Helvetica-Normal" w:hAnsi="Helvetica-Normal" w:cs="Arial"/>
          <w:b/>
          <w:sz w:val="20"/>
          <w:szCs w:val="20"/>
        </w:rPr>
        <w:t>8</w:t>
      </w:r>
      <w:r w:rsidRPr="00196717">
        <w:rPr>
          <w:rFonts w:ascii="Helvetica-Normal" w:hAnsi="Helvetica-Normal" w:cs="Arial"/>
          <w:b/>
          <w:sz w:val="20"/>
          <w:szCs w:val="20"/>
        </w:rPr>
        <w:t xml:space="preserve"> a la 9</w:t>
      </w:r>
      <w:r w:rsidR="00AE52AD" w:rsidRPr="00196717">
        <w:rPr>
          <w:rFonts w:ascii="Helvetica-Normal" w:hAnsi="Helvetica-Normal" w:cs="Arial"/>
          <w:b/>
          <w:sz w:val="20"/>
          <w:szCs w:val="20"/>
        </w:rPr>
        <w:t>0</w:t>
      </w:r>
      <w:r w:rsidRPr="00196717">
        <w:rPr>
          <w:rFonts w:ascii="Helvetica-Normal" w:hAnsi="Helvetica-Normal" w:cs="Arial"/>
          <w:b/>
          <w:sz w:val="20"/>
          <w:szCs w:val="20"/>
        </w:rPr>
        <w:t>.</w:t>
      </w:r>
    </w:p>
    <w:p w14:paraId="78C1688F" w14:textId="77777777" w:rsidR="008C5F60" w:rsidRPr="00196717" w:rsidRDefault="008C5F60" w:rsidP="008C5F60">
      <w:pPr>
        <w:spacing w:after="0" w:line="240" w:lineRule="auto"/>
        <w:jc w:val="both"/>
        <w:rPr>
          <w:rFonts w:ascii="Helvetica-Normal" w:hAnsi="Helvetica-Normal" w:cs="Arial"/>
          <w:sz w:val="20"/>
          <w:szCs w:val="20"/>
        </w:rPr>
      </w:pPr>
    </w:p>
    <w:tbl>
      <w:tblPr>
        <w:tblW w:w="0" w:type="auto"/>
        <w:tblCellMar>
          <w:left w:w="70" w:type="dxa"/>
          <w:right w:w="70" w:type="dxa"/>
        </w:tblCellMar>
        <w:tblLook w:val="04A0" w:firstRow="1" w:lastRow="0" w:firstColumn="1" w:lastColumn="0" w:noHBand="0" w:noVBand="1"/>
      </w:tblPr>
      <w:tblGrid>
        <w:gridCol w:w="3608"/>
        <w:gridCol w:w="1290"/>
        <w:gridCol w:w="3074"/>
      </w:tblGrid>
      <w:tr w:rsidR="008C5F60" w:rsidRPr="00196717" w14:paraId="65645D08"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D52272"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419749DA"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63F91340"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LIMITE DE RESPONSABILIDAD</w:t>
            </w:r>
          </w:p>
        </w:tc>
      </w:tr>
      <w:tr w:rsidR="008C5F60" w:rsidRPr="00196717" w14:paraId="328900D4"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1F37E"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20F6FEB8"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3E96996F"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Valor comercial</w:t>
            </w:r>
          </w:p>
        </w:tc>
      </w:tr>
      <w:tr w:rsidR="008C5F60" w:rsidRPr="00196717" w14:paraId="0D6BD1B3"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1A61F"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6D7EDCAF"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6E51538"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3,000,000.00</w:t>
            </w:r>
          </w:p>
        </w:tc>
      </w:tr>
      <w:tr w:rsidR="008C5F60" w:rsidRPr="00196717" w14:paraId="387CDE85"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87705"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shd w:val="clear" w:color="auto" w:fill="auto"/>
            <w:noWrap/>
            <w:vAlign w:val="bottom"/>
            <w:hideMark/>
          </w:tcPr>
          <w:p w14:paraId="68DB077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5B9EB19"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3,160 UMAS</w:t>
            </w:r>
          </w:p>
        </w:tc>
      </w:tr>
      <w:tr w:rsidR="008C5F60" w:rsidRPr="00196717" w14:paraId="529D7848"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17640"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00D2383D"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BC43E79"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w:t>
            </w:r>
          </w:p>
        </w:tc>
      </w:tr>
      <w:tr w:rsidR="008C5F60" w:rsidRPr="00196717" w14:paraId="59448E31"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C3CB4"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1C51C61F"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82A492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250,000.00</w:t>
            </w:r>
          </w:p>
        </w:tc>
      </w:tr>
      <w:tr w:rsidR="008C5F60" w:rsidRPr="00196717" w14:paraId="16B09AFC"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FDCC5"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19954BC8"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F8905CF"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Amparada</w:t>
            </w:r>
          </w:p>
        </w:tc>
      </w:tr>
      <w:tr w:rsidR="008C5F60" w:rsidRPr="00196717" w14:paraId="6D1BA62C"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3685A6"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shd w:val="clear" w:color="auto" w:fill="auto"/>
            <w:noWrap/>
            <w:vAlign w:val="bottom"/>
            <w:hideMark/>
          </w:tcPr>
          <w:p w14:paraId="16B1EB7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2A272D1"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 libre kilometraje</w:t>
            </w:r>
          </w:p>
        </w:tc>
      </w:tr>
      <w:tr w:rsidR="008C5F60" w:rsidRPr="00196717" w14:paraId="617A176A"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2D58D"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45876DE5"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778FC4B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Valor comercial</w:t>
            </w:r>
          </w:p>
        </w:tc>
      </w:tr>
      <w:tr w:rsidR="008C5F60" w:rsidRPr="00196717" w14:paraId="75BEFAC5"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E1183F"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shd w:val="clear" w:color="auto" w:fill="auto"/>
            <w:noWrap/>
            <w:vAlign w:val="bottom"/>
            <w:hideMark/>
          </w:tcPr>
          <w:p w14:paraId="0D6C0175"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14:paraId="03808D7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w:t>
            </w:r>
          </w:p>
        </w:tc>
      </w:tr>
      <w:tr w:rsidR="008C5F60" w:rsidRPr="00196717" w14:paraId="221E13AD" w14:textId="77777777" w:rsidTr="006D068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3AA745C9"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D115A"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1FF81A9"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250,000.00</w:t>
            </w:r>
          </w:p>
        </w:tc>
      </w:tr>
    </w:tbl>
    <w:p w14:paraId="76E5A12C" w14:textId="77777777" w:rsidR="008C5F60" w:rsidRPr="00196717" w:rsidRDefault="008C5F60" w:rsidP="008C5F60">
      <w:pPr>
        <w:spacing w:after="0" w:line="240" w:lineRule="auto"/>
        <w:jc w:val="both"/>
        <w:rPr>
          <w:rFonts w:ascii="Helvetica-Normal" w:hAnsi="Helvetica-Normal" w:cs="Arial"/>
          <w:sz w:val="20"/>
          <w:szCs w:val="20"/>
        </w:rPr>
      </w:pPr>
    </w:p>
    <w:p w14:paraId="62650034" w14:textId="77777777" w:rsidR="008C5F60" w:rsidRPr="00196717" w:rsidRDefault="008C5F60" w:rsidP="008C5F60">
      <w:pPr>
        <w:spacing w:after="0" w:line="240" w:lineRule="auto"/>
        <w:jc w:val="both"/>
        <w:rPr>
          <w:rFonts w:ascii="Helvetica-Normal" w:hAnsi="Helvetica-Normal" w:cs="Arial"/>
          <w:b/>
          <w:sz w:val="20"/>
          <w:szCs w:val="20"/>
        </w:rPr>
      </w:pPr>
    </w:p>
    <w:p w14:paraId="57C5C865" w14:textId="2F9B544B" w:rsidR="008C5F60" w:rsidRPr="00196717" w:rsidRDefault="008C5F60" w:rsidP="008C5F60">
      <w:pPr>
        <w:spacing w:after="0" w:line="240" w:lineRule="auto"/>
        <w:jc w:val="both"/>
        <w:rPr>
          <w:rFonts w:ascii="Helvetica-Normal" w:hAnsi="Helvetica-Normal" w:cs="Arial"/>
          <w:sz w:val="20"/>
          <w:szCs w:val="20"/>
        </w:rPr>
      </w:pPr>
      <w:r w:rsidRPr="00196717">
        <w:rPr>
          <w:rFonts w:ascii="Helvetica-Normal" w:hAnsi="Helvetica-Normal" w:cs="Arial"/>
          <w:b/>
          <w:sz w:val="20"/>
          <w:szCs w:val="20"/>
        </w:rPr>
        <w:t>Bloque 2:</w:t>
      </w:r>
      <w:r w:rsidRPr="00196717">
        <w:rPr>
          <w:rFonts w:ascii="Helvetica-Normal" w:hAnsi="Helvetica-Normal" w:cs="Arial"/>
          <w:sz w:val="20"/>
          <w:szCs w:val="20"/>
        </w:rPr>
        <w:t xml:space="preserve"> Partidas 9</w:t>
      </w:r>
      <w:r w:rsidR="00AE52AD" w:rsidRPr="00196717">
        <w:rPr>
          <w:rFonts w:ascii="Helvetica-Normal" w:hAnsi="Helvetica-Normal" w:cs="Arial"/>
          <w:sz w:val="20"/>
          <w:szCs w:val="20"/>
        </w:rPr>
        <w:t>1 a la 94</w:t>
      </w:r>
      <w:r w:rsidRPr="00196717">
        <w:rPr>
          <w:rFonts w:ascii="Helvetica-Normal" w:hAnsi="Helvetica-Normal" w:cs="Arial"/>
          <w:sz w:val="20"/>
          <w:szCs w:val="20"/>
        </w:rPr>
        <w:t>.</w:t>
      </w:r>
    </w:p>
    <w:p w14:paraId="59A5AE0C" w14:textId="77777777" w:rsidR="008C5F60" w:rsidRPr="00196717" w:rsidRDefault="008C5F60" w:rsidP="008C5F60">
      <w:pPr>
        <w:spacing w:after="0" w:line="240" w:lineRule="auto"/>
        <w:jc w:val="both"/>
        <w:rPr>
          <w:rFonts w:ascii="Helvetica-Normal" w:hAnsi="Helvetica-Normal" w:cs="Arial"/>
          <w:sz w:val="20"/>
          <w:szCs w:val="20"/>
        </w:rPr>
      </w:pPr>
    </w:p>
    <w:p w14:paraId="4412D6A7" w14:textId="1EF1A191" w:rsidR="008C5F60" w:rsidRPr="00196717" w:rsidRDefault="008C5F60" w:rsidP="008C5F60">
      <w:pPr>
        <w:spacing w:after="0" w:line="240" w:lineRule="auto"/>
        <w:jc w:val="both"/>
        <w:rPr>
          <w:rFonts w:ascii="Helvetica-Normal" w:hAnsi="Helvetica-Normal" w:cs="Arial"/>
          <w:sz w:val="20"/>
          <w:szCs w:val="20"/>
        </w:rPr>
      </w:pPr>
      <w:r w:rsidRPr="00196717">
        <w:rPr>
          <w:rFonts w:ascii="Helvetica-Normal" w:hAnsi="Helvetica-Normal" w:cs="Arial"/>
          <w:sz w:val="20"/>
          <w:szCs w:val="20"/>
        </w:rPr>
        <w:t xml:space="preserve">Periodo de póliza: De las 12:00 </w:t>
      </w:r>
      <w:proofErr w:type="spellStart"/>
      <w:r w:rsidRPr="00196717">
        <w:rPr>
          <w:rFonts w:ascii="Helvetica-Normal" w:hAnsi="Helvetica-Normal" w:cs="Arial"/>
          <w:sz w:val="20"/>
          <w:szCs w:val="20"/>
        </w:rPr>
        <w:t>hrs</w:t>
      </w:r>
      <w:proofErr w:type="spellEnd"/>
      <w:r w:rsidRPr="00196717">
        <w:rPr>
          <w:rFonts w:ascii="Helvetica-Normal" w:hAnsi="Helvetica-Normal" w:cs="Arial"/>
          <w:sz w:val="20"/>
          <w:szCs w:val="20"/>
        </w:rPr>
        <w:t xml:space="preserve"> del </w:t>
      </w:r>
      <w:r w:rsidR="00E66D96" w:rsidRPr="00196717">
        <w:rPr>
          <w:rFonts w:ascii="Helvetica-Normal" w:hAnsi="Helvetica-Normal" w:cs="Arial"/>
          <w:sz w:val="20"/>
          <w:szCs w:val="20"/>
        </w:rPr>
        <w:t>12 de julio</w:t>
      </w:r>
      <w:r w:rsidRPr="00196717">
        <w:rPr>
          <w:rFonts w:ascii="Helvetica-Normal" w:hAnsi="Helvetica-Normal" w:cs="Arial"/>
          <w:sz w:val="20"/>
          <w:szCs w:val="20"/>
        </w:rPr>
        <w:t xml:space="preserve"> de 2023 a las 12:00 </w:t>
      </w:r>
      <w:proofErr w:type="spellStart"/>
      <w:r w:rsidRPr="00196717">
        <w:rPr>
          <w:rFonts w:ascii="Helvetica-Normal" w:hAnsi="Helvetica-Normal" w:cs="Arial"/>
          <w:sz w:val="20"/>
          <w:szCs w:val="20"/>
        </w:rPr>
        <w:t>hrs</w:t>
      </w:r>
      <w:proofErr w:type="spellEnd"/>
      <w:r w:rsidRPr="00196717">
        <w:rPr>
          <w:rFonts w:ascii="Helvetica-Normal" w:hAnsi="Helvetica-Normal" w:cs="Arial"/>
          <w:sz w:val="20"/>
          <w:szCs w:val="20"/>
        </w:rPr>
        <w:t xml:space="preserve"> del </w:t>
      </w:r>
      <w:r w:rsidR="00E66D96" w:rsidRPr="00196717">
        <w:rPr>
          <w:rFonts w:ascii="Helvetica-Normal" w:hAnsi="Helvetica-Normal" w:cs="Arial"/>
          <w:sz w:val="20"/>
          <w:szCs w:val="20"/>
        </w:rPr>
        <w:t xml:space="preserve">12 de julio </w:t>
      </w:r>
      <w:r w:rsidRPr="00196717">
        <w:rPr>
          <w:rFonts w:ascii="Helvetica-Normal" w:hAnsi="Helvetica-Normal" w:cs="Arial"/>
          <w:sz w:val="20"/>
          <w:szCs w:val="20"/>
        </w:rPr>
        <w:t xml:space="preserve">de 2024 </w:t>
      </w:r>
    </w:p>
    <w:p w14:paraId="21C1ABC5" w14:textId="77777777" w:rsidR="008C5F60" w:rsidRPr="00196717" w:rsidRDefault="008C5F60" w:rsidP="008C5F60">
      <w:pPr>
        <w:spacing w:after="0" w:line="240" w:lineRule="auto"/>
        <w:jc w:val="both"/>
        <w:rPr>
          <w:rFonts w:ascii="Helvetica-Normal" w:hAnsi="Helvetica-Normal" w:cs="Arial"/>
          <w:sz w:val="20"/>
          <w:szCs w:val="20"/>
        </w:rPr>
      </w:pPr>
    </w:p>
    <w:p w14:paraId="1DE77C03" w14:textId="642C3A86" w:rsidR="008C5F60" w:rsidRPr="00196717" w:rsidRDefault="008C5F60" w:rsidP="008C5F60">
      <w:pPr>
        <w:spacing w:after="0" w:line="240" w:lineRule="auto"/>
        <w:jc w:val="both"/>
        <w:rPr>
          <w:rFonts w:ascii="Helvetica-Normal" w:hAnsi="Helvetica-Normal" w:cs="Arial"/>
          <w:b/>
          <w:sz w:val="20"/>
          <w:szCs w:val="20"/>
          <w:u w:val="single"/>
        </w:rPr>
      </w:pPr>
      <w:r w:rsidRPr="00196717">
        <w:rPr>
          <w:rFonts w:ascii="Helvetica-Normal" w:hAnsi="Helvetica-Normal" w:cs="Arial"/>
          <w:b/>
          <w:sz w:val="20"/>
          <w:szCs w:val="20"/>
          <w:u w:val="single"/>
        </w:rPr>
        <w:t>Cobertura 3:</w:t>
      </w:r>
      <w:r w:rsidR="00AE52AD" w:rsidRPr="00196717">
        <w:rPr>
          <w:rFonts w:ascii="Helvetica-Normal" w:hAnsi="Helvetica-Normal" w:cs="Arial"/>
          <w:b/>
          <w:sz w:val="20"/>
          <w:szCs w:val="20"/>
        </w:rPr>
        <w:t xml:space="preserve"> Aplicable de la parida 91 a la 94</w:t>
      </w:r>
      <w:r w:rsidRPr="00196717">
        <w:rPr>
          <w:rFonts w:ascii="Helvetica-Normal" w:hAnsi="Helvetica-Normal" w:cs="Arial"/>
          <w:b/>
          <w:sz w:val="20"/>
          <w:szCs w:val="20"/>
        </w:rPr>
        <w:t>.</w:t>
      </w:r>
    </w:p>
    <w:p w14:paraId="548D3197" w14:textId="77777777" w:rsidR="008C5F60" w:rsidRPr="00196717" w:rsidRDefault="008C5F60" w:rsidP="008C5F60">
      <w:pPr>
        <w:spacing w:after="0" w:line="240" w:lineRule="auto"/>
        <w:jc w:val="both"/>
        <w:rPr>
          <w:rFonts w:ascii="Helvetica-Normal" w:hAnsi="Helvetica-Normal" w:cs="Arial"/>
          <w:sz w:val="20"/>
          <w:szCs w:val="20"/>
        </w:rPr>
      </w:pPr>
    </w:p>
    <w:tbl>
      <w:tblPr>
        <w:tblW w:w="0" w:type="auto"/>
        <w:tblCellMar>
          <w:left w:w="70" w:type="dxa"/>
          <w:right w:w="70" w:type="dxa"/>
        </w:tblCellMar>
        <w:tblLook w:val="04A0" w:firstRow="1" w:lastRow="0" w:firstColumn="1" w:lastColumn="0" w:noHBand="0" w:noVBand="1"/>
      </w:tblPr>
      <w:tblGrid>
        <w:gridCol w:w="2607"/>
        <w:gridCol w:w="1290"/>
        <w:gridCol w:w="3074"/>
      </w:tblGrid>
      <w:tr w:rsidR="008C5F60" w:rsidRPr="00196717" w14:paraId="5367FE5B"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45807"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CA1ED24"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B136DCC"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LIMITE DE RESPONSABILIDAD</w:t>
            </w:r>
          </w:p>
        </w:tc>
      </w:tr>
      <w:tr w:rsidR="008C5F60" w:rsidRPr="00196717" w14:paraId="2AD4159D"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5BB54"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2640704A"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11209A8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Valor comercial</w:t>
            </w:r>
          </w:p>
        </w:tc>
      </w:tr>
      <w:tr w:rsidR="008C5F60" w:rsidRPr="00196717" w14:paraId="6C2EEB0A"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4DFE34"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3C1DE66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21C211B"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3,000,000.00</w:t>
            </w:r>
          </w:p>
        </w:tc>
      </w:tr>
      <w:tr w:rsidR="008C5F60" w:rsidRPr="00196717" w14:paraId="4A772F7B"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BBD7E"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7AA1631C"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C642F4C"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w:t>
            </w:r>
          </w:p>
        </w:tc>
      </w:tr>
      <w:tr w:rsidR="008C5F60" w:rsidRPr="00196717" w14:paraId="1889173B"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5565A"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1FAE9E47"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8FACCA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275,000.00</w:t>
            </w:r>
          </w:p>
        </w:tc>
      </w:tr>
      <w:tr w:rsidR="008C5F60" w:rsidRPr="00196717" w14:paraId="74456DB3"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4CE4A2"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46EC0F8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91C0DAC"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Amparada</w:t>
            </w:r>
          </w:p>
        </w:tc>
      </w:tr>
      <w:tr w:rsidR="008C5F60" w:rsidRPr="00196717" w14:paraId="7734489B"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8E73A6"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Asistencia vial cuatrimoto</w:t>
            </w:r>
          </w:p>
        </w:tc>
        <w:tc>
          <w:tcPr>
            <w:tcW w:w="0" w:type="auto"/>
            <w:tcBorders>
              <w:top w:val="nil"/>
              <w:left w:val="nil"/>
              <w:bottom w:val="single" w:sz="4" w:space="0" w:color="auto"/>
              <w:right w:val="single" w:sz="4" w:space="0" w:color="auto"/>
            </w:tcBorders>
            <w:shd w:val="clear" w:color="auto" w:fill="auto"/>
            <w:noWrap/>
            <w:vAlign w:val="bottom"/>
            <w:hideMark/>
          </w:tcPr>
          <w:p w14:paraId="41F7787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DD4C91D"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 - libre kilometraje</w:t>
            </w:r>
          </w:p>
        </w:tc>
      </w:tr>
      <w:tr w:rsidR="008C5F60" w:rsidRPr="00196717" w14:paraId="04BEA2F2"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D251CE"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3E990A1A"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10255F1D"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Valor comercial</w:t>
            </w:r>
          </w:p>
        </w:tc>
      </w:tr>
      <w:tr w:rsidR="008C5F60" w:rsidRPr="00196717" w14:paraId="38710D4D" w14:textId="77777777" w:rsidTr="006D068D">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207DD55D"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Muerte al Conductor</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F1426"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E64B498"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100,000.00</w:t>
            </w:r>
          </w:p>
        </w:tc>
      </w:tr>
    </w:tbl>
    <w:p w14:paraId="641813E5" w14:textId="77777777" w:rsidR="008C5F60" w:rsidRPr="00196717" w:rsidRDefault="008C5F60" w:rsidP="008C5F60">
      <w:pPr>
        <w:spacing w:after="0" w:line="240" w:lineRule="auto"/>
        <w:jc w:val="both"/>
        <w:rPr>
          <w:rFonts w:ascii="Helvetica-Normal" w:hAnsi="Helvetica-Normal" w:cs="Arial"/>
          <w:b/>
          <w:sz w:val="20"/>
          <w:szCs w:val="20"/>
        </w:rPr>
      </w:pPr>
    </w:p>
    <w:p w14:paraId="0AC018A1" w14:textId="2CA3ACA6" w:rsidR="008C5F60" w:rsidRPr="00196717" w:rsidRDefault="008C5F60" w:rsidP="008C5F60">
      <w:pPr>
        <w:spacing w:after="0" w:line="240" w:lineRule="auto"/>
        <w:jc w:val="both"/>
        <w:rPr>
          <w:rFonts w:ascii="Helvetica-Normal" w:hAnsi="Helvetica-Normal" w:cs="Arial"/>
          <w:sz w:val="20"/>
          <w:szCs w:val="20"/>
        </w:rPr>
      </w:pPr>
      <w:r w:rsidRPr="00196717">
        <w:rPr>
          <w:rFonts w:ascii="Helvetica-Normal" w:hAnsi="Helvetica-Normal" w:cs="Arial"/>
          <w:b/>
          <w:sz w:val="20"/>
          <w:szCs w:val="20"/>
        </w:rPr>
        <w:t>Bloque 3:</w:t>
      </w:r>
      <w:r w:rsidRPr="00196717">
        <w:rPr>
          <w:rFonts w:ascii="Helvetica-Normal" w:hAnsi="Helvetica-Normal" w:cs="Arial"/>
          <w:sz w:val="20"/>
          <w:szCs w:val="20"/>
        </w:rPr>
        <w:t xml:space="preserve"> Partidas </w:t>
      </w:r>
      <w:r w:rsidR="00AE52AD" w:rsidRPr="00196717">
        <w:rPr>
          <w:rFonts w:ascii="Helvetica-Normal" w:hAnsi="Helvetica-Normal" w:cs="Arial"/>
          <w:sz w:val="20"/>
          <w:szCs w:val="20"/>
        </w:rPr>
        <w:t>95</w:t>
      </w:r>
      <w:r w:rsidRPr="00196717">
        <w:rPr>
          <w:rFonts w:ascii="Helvetica-Normal" w:hAnsi="Helvetica-Normal" w:cs="Arial"/>
          <w:sz w:val="20"/>
          <w:szCs w:val="20"/>
        </w:rPr>
        <w:t xml:space="preserve"> a la 14</w:t>
      </w:r>
      <w:r w:rsidR="00AE52AD" w:rsidRPr="00196717">
        <w:rPr>
          <w:rFonts w:ascii="Helvetica-Normal" w:hAnsi="Helvetica-Normal" w:cs="Arial"/>
          <w:sz w:val="20"/>
          <w:szCs w:val="20"/>
        </w:rPr>
        <w:t>0</w:t>
      </w:r>
      <w:r w:rsidRPr="00196717">
        <w:rPr>
          <w:rFonts w:ascii="Helvetica-Normal" w:hAnsi="Helvetica-Normal" w:cs="Arial"/>
          <w:sz w:val="20"/>
          <w:szCs w:val="20"/>
        </w:rPr>
        <w:t>.</w:t>
      </w:r>
    </w:p>
    <w:p w14:paraId="067D8334" w14:textId="77777777" w:rsidR="008C5F60" w:rsidRPr="00196717" w:rsidRDefault="008C5F60" w:rsidP="008C5F60">
      <w:pPr>
        <w:spacing w:after="0" w:line="240" w:lineRule="auto"/>
        <w:jc w:val="both"/>
        <w:rPr>
          <w:rFonts w:ascii="Helvetica-Normal" w:hAnsi="Helvetica-Normal" w:cs="Arial"/>
          <w:sz w:val="20"/>
          <w:szCs w:val="20"/>
        </w:rPr>
      </w:pPr>
    </w:p>
    <w:p w14:paraId="181F0389" w14:textId="16FA18F7" w:rsidR="008C5F60" w:rsidRPr="00196717" w:rsidRDefault="008C5F60" w:rsidP="008C5F60">
      <w:pPr>
        <w:spacing w:after="0" w:line="240" w:lineRule="auto"/>
        <w:jc w:val="both"/>
        <w:rPr>
          <w:rFonts w:ascii="Helvetica-Normal" w:hAnsi="Helvetica-Normal" w:cs="Arial"/>
          <w:sz w:val="20"/>
          <w:szCs w:val="20"/>
        </w:rPr>
      </w:pPr>
      <w:r w:rsidRPr="00196717">
        <w:rPr>
          <w:rFonts w:ascii="Helvetica-Normal" w:hAnsi="Helvetica-Normal" w:cs="Arial"/>
          <w:sz w:val="20"/>
          <w:szCs w:val="20"/>
        </w:rPr>
        <w:t xml:space="preserve">Periodo de póliza: De las 12:00 </w:t>
      </w:r>
      <w:proofErr w:type="spellStart"/>
      <w:r w:rsidRPr="00196717">
        <w:rPr>
          <w:rFonts w:ascii="Helvetica-Normal" w:hAnsi="Helvetica-Normal" w:cs="Arial"/>
          <w:sz w:val="20"/>
          <w:szCs w:val="20"/>
        </w:rPr>
        <w:t>hrs</w:t>
      </w:r>
      <w:proofErr w:type="spellEnd"/>
      <w:r w:rsidRPr="00196717">
        <w:rPr>
          <w:rFonts w:ascii="Helvetica-Normal" w:hAnsi="Helvetica-Normal" w:cs="Arial"/>
          <w:sz w:val="20"/>
          <w:szCs w:val="20"/>
        </w:rPr>
        <w:t xml:space="preserve"> del 12 de ju</w:t>
      </w:r>
      <w:r w:rsidR="00441410" w:rsidRPr="00196717">
        <w:rPr>
          <w:rFonts w:ascii="Helvetica-Normal" w:hAnsi="Helvetica-Normal" w:cs="Arial"/>
          <w:sz w:val="20"/>
          <w:szCs w:val="20"/>
        </w:rPr>
        <w:t>lio</w:t>
      </w:r>
      <w:r w:rsidRPr="00196717">
        <w:rPr>
          <w:rFonts w:ascii="Helvetica-Normal" w:hAnsi="Helvetica-Normal" w:cs="Arial"/>
          <w:sz w:val="20"/>
          <w:szCs w:val="20"/>
        </w:rPr>
        <w:t xml:space="preserve"> de 2023 a las 12:00 </w:t>
      </w:r>
      <w:proofErr w:type="spellStart"/>
      <w:r w:rsidRPr="00196717">
        <w:rPr>
          <w:rFonts w:ascii="Helvetica-Normal" w:hAnsi="Helvetica-Normal" w:cs="Arial"/>
          <w:sz w:val="20"/>
          <w:szCs w:val="20"/>
        </w:rPr>
        <w:t>hrs</w:t>
      </w:r>
      <w:proofErr w:type="spellEnd"/>
      <w:r w:rsidRPr="00196717">
        <w:rPr>
          <w:rFonts w:ascii="Helvetica-Normal" w:hAnsi="Helvetica-Normal" w:cs="Arial"/>
          <w:sz w:val="20"/>
          <w:szCs w:val="20"/>
        </w:rPr>
        <w:t xml:space="preserve"> del 12 de ju</w:t>
      </w:r>
      <w:r w:rsidR="00441410" w:rsidRPr="00196717">
        <w:rPr>
          <w:rFonts w:ascii="Helvetica-Normal" w:hAnsi="Helvetica-Normal" w:cs="Arial"/>
          <w:sz w:val="20"/>
          <w:szCs w:val="20"/>
        </w:rPr>
        <w:t>lio</w:t>
      </w:r>
      <w:r w:rsidRPr="00196717">
        <w:rPr>
          <w:rFonts w:ascii="Helvetica-Normal" w:hAnsi="Helvetica-Normal" w:cs="Arial"/>
          <w:sz w:val="20"/>
          <w:szCs w:val="20"/>
        </w:rPr>
        <w:t xml:space="preserve"> de 2024.</w:t>
      </w:r>
    </w:p>
    <w:p w14:paraId="78D76799" w14:textId="77777777" w:rsidR="008C5F60" w:rsidRPr="00196717" w:rsidRDefault="008C5F60" w:rsidP="008C5F60">
      <w:pPr>
        <w:spacing w:after="0" w:line="240" w:lineRule="auto"/>
        <w:jc w:val="both"/>
        <w:rPr>
          <w:rFonts w:ascii="Helvetica-Normal" w:hAnsi="Helvetica-Normal" w:cs="Arial"/>
          <w:sz w:val="20"/>
          <w:szCs w:val="20"/>
        </w:rPr>
      </w:pPr>
    </w:p>
    <w:p w14:paraId="7AAE47B3" w14:textId="28F6491A" w:rsidR="008C5F60" w:rsidRPr="00196717" w:rsidRDefault="008C5F60" w:rsidP="008C5F60">
      <w:pPr>
        <w:spacing w:after="0" w:line="240" w:lineRule="auto"/>
        <w:jc w:val="both"/>
        <w:rPr>
          <w:rFonts w:ascii="Helvetica-Normal" w:hAnsi="Helvetica-Normal" w:cs="Arial"/>
          <w:b/>
          <w:sz w:val="20"/>
          <w:szCs w:val="20"/>
        </w:rPr>
      </w:pPr>
      <w:r w:rsidRPr="00196717">
        <w:rPr>
          <w:rFonts w:ascii="Helvetica-Normal" w:hAnsi="Helvetica-Normal" w:cs="Arial"/>
          <w:b/>
          <w:sz w:val="20"/>
          <w:szCs w:val="20"/>
          <w:u w:val="single"/>
        </w:rPr>
        <w:t>Cobertura 4:</w:t>
      </w:r>
      <w:r w:rsidRPr="00196717">
        <w:rPr>
          <w:rFonts w:ascii="Helvetica-Normal" w:hAnsi="Helvetica-Normal" w:cs="Arial"/>
          <w:b/>
          <w:sz w:val="20"/>
          <w:szCs w:val="20"/>
        </w:rPr>
        <w:t xml:space="preserve"> Aplicable de la partida 9</w:t>
      </w:r>
      <w:r w:rsidR="00AE52AD" w:rsidRPr="00196717">
        <w:rPr>
          <w:rFonts w:ascii="Helvetica-Normal" w:hAnsi="Helvetica-Normal" w:cs="Arial"/>
          <w:b/>
          <w:sz w:val="20"/>
          <w:szCs w:val="20"/>
        </w:rPr>
        <w:t>5 a la 140</w:t>
      </w:r>
      <w:r w:rsidRPr="00196717">
        <w:rPr>
          <w:rFonts w:ascii="Helvetica-Normal" w:hAnsi="Helvetica-Normal" w:cs="Arial"/>
          <w:b/>
          <w:sz w:val="20"/>
          <w:szCs w:val="20"/>
        </w:rPr>
        <w:t>.</w:t>
      </w:r>
    </w:p>
    <w:tbl>
      <w:tblPr>
        <w:tblW w:w="0" w:type="auto"/>
        <w:tblCellMar>
          <w:left w:w="70" w:type="dxa"/>
          <w:right w:w="70" w:type="dxa"/>
        </w:tblCellMar>
        <w:tblLook w:val="04A0" w:firstRow="1" w:lastRow="0" w:firstColumn="1" w:lastColumn="0" w:noHBand="0" w:noVBand="1"/>
      </w:tblPr>
      <w:tblGrid>
        <w:gridCol w:w="3608"/>
        <w:gridCol w:w="1290"/>
        <w:gridCol w:w="3074"/>
      </w:tblGrid>
      <w:tr w:rsidR="008C5F60" w:rsidRPr="00196717" w14:paraId="4E5693C2" w14:textId="77777777" w:rsidTr="006D068D">
        <w:trPr>
          <w:trHeight w:val="300"/>
        </w:trPr>
        <w:tc>
          <w:tcPr>
            <w:tcW w:w="0" w:type="auto"/>
            <w:noWrap/>
            <w:vAlign w:val="bottom"/>
            <w:hideMark/>
          </w:tcPr>
          <w:p w14:paraId="0B018642" w14:textId="77777777" w:rsidR="008C5F60" w:rsidRPr="00196717" w:rsidRDefault="008C5F60" w:rsidP="006D068D">
            <w:pPr>
              <w:rPr>
                <w:rFonts w:ascii="Helvetica-Normal" w:hAnsi="Helvetica-Normal" w:cs="Arial"/>
                <w:b/>
                <w:sz w:val="20"/>
                <w:szCs w:val="20"/>
              </w:rPr>
            </w:pPr>
          </w:p>
        </w:tc>
        <w:tc>
          <w:tcPr>
            <w:tcW w:w="0" w:type="auto"/>
            <w:noWrap/>
            <w:vAlign w:val="bottom"/>
            <w:hideMark/>
          </w:tcPr>
          <w:p w14:paraId="54883890" w14:textId="77777777" w:rsidR="008C5F60" w:rsidRPr="00196717" w:rsidRDefault="008C5F60" w:rsidP="006D068D">
            <w:pPr>
              <w:rPr>
                <w:rFonts w:ascii="Helvetica-Normal" w:hAnsi="Helvetica-Normal"/>
                <w:sz w:val="20"/>
                <w:szCs w:val="20"/>
                <w:lang w:eastAsia="es-MX"/>
              </w:rPr>
            </w:pPr>
          </w:p>
        </w:tc>
        <w:tc>
          <w:tcPr>
            <w:tcW w:w="0" w:type="auto"/>
            <w:noWrap/>
            <w:vAlign w:val="bottom"/>
            <w:hideMark/>
          </w:tcPr>
          <w:p w14:paraId="08EEDB0F" w14:textId="77777777" w:rsidR="008C5F60" w:rsidRPr="00196717" w:rsidRDefault="008C5F60" w:rsidP="006D068D">
            <w:pPr>
              <w:rPr>
                <w:rFonts w:ascii="Helvetica-Normal" w:hAnsi="Helvetica-Normal"/>
                <w:sz w:val="20"/>
                <w:szCs w:val="20"/>
                <w:lang w:eastAsia="es-MX"/>
              </w:rPr>
            </w:pPr>
          </w:p>
        </w:tc>
      </w:tr>
      <w:tr w:rsidR="008C5F60" w:rsidRPr="00196717" w14:paraId="78E2F601"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A6F53FD"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auto" w:fill="BFBFBF"/>
            <w:noWrap/>
            <w:vAlign w:val="bottom"/>
            <w:hideMark/>
          </w:tcPr>
          <w:p w14:paraId="4BF5FAEF"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auto" w:fill="BFBFBF"/>
            <w:noWrap/>
            <w:vAlign w:val="bottom"/>
            <w:hideMark/>
          </w:tcPr>
          <w:p w14:paraId="36A87D7D" w14:textId="77777777" w:rsidR="008C5F60" w:rsidRPr="00196717"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196717">
              <w:rPr>
                <w:rFonts w:ascii="Helvetica-Normal" w:eastAsia="Times New Roman" w:hAnsi="Helvetica-Normal" w:cs="Helvetica"/>
                <w:b/>
                <w:bCs/>
                <w:color w:val="000000"/>
                <w:sz w:val="20"/>
                <w:szCs w:val="20"/>
                <w:lang w:eastAsia="es-MX"/>
              </w:rPr>
              <w:t>LIMITE DE RESPONSABILIDAD</w:t>
            </w:r>
          </w:p>
        </w:tc>
      </w:tr>
      <w:tr w:rsidR="008C5F60" w:rsidRPr="00196717" w14:paraId="34D5165C"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36047D26"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noWrap/>
            <w:vAlign w:val="bottom"/>
            <w:hideMark/>
          </w:tcPr>
          <w:p w14:paraId="6541ED26"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noWrap/>
            <w:vAlign w:val="bottom"/>
            <w:hideMark/>
          </w:tcPr>
          <w:p w14:paraId="2D33BC8C"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 xml:space="preserve">Valor convenido </w:t>
            </w:r>
          </w:p>
        </w:tc>
      </w:tr>
      <w:tr w:rsidR="008C5F60" w:rsidRPr="00196717" w14:paraId="27AACCC9"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6DC7968B"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noWrap/>
            <w:vAlign w:val="bottom"/>
            <w:hideMark/>
          </w:tcPr>
          <w:p w14:paraId="1CE74B82"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70487B30"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4,000,000.00</w:t>
            </w:r>
          </w:p>
        </w:tc>
      </w:tr>
      <w:tr w:rsidR="008C5F60" w:rsidRPr="00196717" w14:paraId="33D16036"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5E7F07AB"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noWrap/>
            <w:vAlign w:val="bottom"/>
            <w:hideMark/>
          </w:tcPr>
          <w:p w14:paraId="4A56245B"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65BD8CD9"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3,160 UMAS</w:t>
            </w:r>
          </w:p>
        </w:tc>
      </w:tr>
      <w:tr w:rsidR="008C5F60" w:rsidRPr="00196717" w14:paraId="6105FBFD"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0264C95E"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noWrap/>
            <w:vAlign w:val="bottom"/>
            <w:hideMark/>
          </w:tcPr>
          <w:p w14:paraId="6F8DD52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2F36B68D"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w:t>
            </w:r>
          </w:p>
        </w:tc>
      </w:tr>
      <w:tr w:rsidR="008C5F60" w:rsidRPr="00196717" w14:paraId="689DC996"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3DA0FEAA"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noWrap/>
            <w:vAlign w:val="bottom"/>
            <w:hideMark/>
          </w:tcPr>
          <w:p w14:paraId="64568CDB"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6766AA3D"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300,000.00</w:t>
            </w:r>
          </w:p>
        </w:tc>
      </w:tr>
      <w:tr w:rsidR="008C5F60" w:rsidRPr="00196717" w14:paraId="51C9BDEE"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084B811F"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noWrap/>
            <w:vAlign w:val="bottom"/>
            <w:hideMark/>
          </w:tcPr>
          <w:p w14:paraId="53A53EE1"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056A158F"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Amparada</w:t>
            </w:r>
          </w:p>
        </w:tc>
      </w:tr>
      <w:tr w:rsidR="008C5F60" w:rsidRPr="00196717" w14:paraId="41B36A8C"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43882907"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noWrap/>
            <w:vAlign w:val="bottom"/>
            <w:hideMark/>
          </w:tcPr>
          <w:p w14:paraId="599ADC0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24F76391"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 libre kilometraje</w:t>
            </w:r>
          </w:p>
        </w:tc>
      </w:tr>
      <w:tr w:rsidR="008C5F60" w:rsidRPr="00196717" w14:paraId="2F19271B"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1B0B5188"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noWrap/>
            <w:vAlign w:val="bottom"/>
            <w:hideMark/>
          </w:tcPr>
          <w:p w14:paraId="1C438BA0"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10%</w:t>
            </w:r>
          </w:p>
        </w:tc>
        <w:tc>
          <w:tcPr>
            <w:tcW w:w="0" w:type="auto"/>
            <w:tcBorders>
              <w:top w:val="nil"/>
              <w:left w:val="nil"/>
              <w:bottom w:val="single" w:sz="4" w:space="0" w:color="auto"/>
              <w:right w:val="single" w:sz="4" w:space="0" w:color="auto"/>
            </w:tcBorders>
            <w:noWrap/>
            <w:vAlign w:val="bottom"/>
            <w:hideMark/>
          </w:tcPr>
          <w:p w14:paraId="66503BF6"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Valor convenido</w:t>
            </w:r>
          </w:p>
        </w:tc>
      </w:tr>
      <w:tr w:rsidR="008C5F60" w:rsidRPr="00196717" w14:paraId="5AE8CB44"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72FE0F5F"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noWrap/>
            <w:vAlign w:val="bottom"/>
            <w:hideMark/>
          </w:tcPr>
          <w:p w14:paraId="17A0A42E"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noWrap/>
            <w:vAlign w:val="bottom"/>
            <w:hideMark/>
          </w:tcPr>
          <w:p w14:paraId="08C72526"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Amparado</w:t>
            </w:r>
          </w:p>
        </w:tc>
      </w:tr>
      <w:tr w:rsidR="008C5F60" w:rsidRPr="00196717" w14:paraId="65468C3C" w14:textId="77777777" w:rsidTr="006D068D">
        <w:trPr>
          <w:trHeight w:val="300"/>
        </w:trPr>
        <w:tc>
          <w:tcPr>
            <w:tcW w:w="0" w:type="auto"/>
            <w:tcBorders>
              <w:top w:val="nil"/>
              <w:left w:val="single" w:sz="4" w:space="0" w:color="auto"/>
              <w:bottom w:val="single" w:sz="4" w:space="0" w:color="auto"/>
              <w:right w:val="nil"/>
            </w:tcBorders>
            <w:noWrap/>
            <w:vAlign w:val="bottom"/>
            <w:hideMark/>
          </w:tcPr>
          <w:p w14:paraId="2FCACCD7" w14:textId="77777777" w:rsidR="008C5F60" w:rsidRPr="00196717" w:rsidRDefault="008C5F60" w:rsidP="006D068D">
            <w:pPr>
              <w:spacing w:after="0" w:line="240" w:lineRule="auto"/>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221257B"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1CA79D34" w14:textId="77777777" w:rsidR="008C5F60" w:rsidRPr="00196717" w:rsidRDefault="008C5F60" w:rsidP="006D068D">
            <w:pPr>
              <w:spacing w:after="0" w:line="240" w:lineRule="auto"/>
              <w:jc w:val="center"/>
              <w:rPr>
                <w:rFonts w:ascii="Helvetica-Normal" w:eastAsia="Times New Roman" w:hAnsi="Helvetica-Normal" w:cs="Helvetica"/>
                <w:color w:val="000000"/>
                <w:sz w:val="20"/>
                <w:szCs w:val="20"/>
                <w:lang w:eastAsia="es-MX"/>
              </w:rPr>
            </w:pPr>
            <w:r w:rsidRPr="00196717">
              <w:rPr>
                <w:rFonts w:ascii="Helvetica-Normal" w:eastAsia="Times New Roman" w:hAnsi="Helvetica-Normal" w:cs="Helvetica"/>
                <w:color w:val="000000"/>
                <w:sz w:val="20"/>
                <w:szCs w:val="20"/>
                <w:lang w:eastAsia="es-MX"/>
              </w:rPr>
              <w:t>300,000.00</w:t>
            </w:r>
          </w:p>
        </w:tc>
      </w:tr>
    </w:tbl>
    <w:p w14:paraId="5E7ECA6A" w14:textId="77777777" w:rsidR="008C5F60" w:rsidRPr="00196717" w:rsidRDefault="008C5F60" w:rsidP="008C5F60">
      <w:pPr>
        <w:widowControl w:val="0"/>
        <w:autoSpaceDE w:val="0"/>
        <w:autoSpaceDN w:val="0"/>
        <w:adjustRightInd w:val="0"/>
        <w:spacing w:before="100" w:after="0" w:line="240" w:lineRule="auto"/>
        <w:ind w:right="55"/>
        <w:jc w:val="both"/>
        <w:rPr>
          <w:rFonts w:ascii="Helvetica-Normal" w:hAnsi="Helvetica-Normal" w:cs="Arial"/>
          <w:b/>
          <w:sz w:val="20"/>
          <w:szCs w:val="20"/>
        </w:rPr>
      </w:pPr>
    </w:p>
    <w:p w14:paraId="41281E92" w14:textId="77777777" w:rsidR="008C5F60" w:rsidRPr="00196717" w:rsidRDefault="008C5F60" w:rsidP="008C5F60">
      <w:pPr>
        <w:widowControl w:val="0"/>
        <w:autoSpaceDE w:val="0"/>
        <w:autoSpaceDN w:val="0"/>
        <w:adjustRightInd w:val="0"/>
        <w:spacing w:before="100"/>
        <w:ind w:right="55"/>
        <w:jc w:val="both"/>
        <w:rPr>
          <w:rFonts w:ascii="Helvetica-Normal" w:hAnsi="Helvetica-Normal" w:cs="Arial"/>
          <w:b/>
          <w:sz w:val="20"/>
          <w:szCs w:val="20"/>
        </w:rPr>
      </w:pPr>
      <w:r w:rsidRPr="00196717">
        <w:rPr>
          <w:rFonts w:ascii="Helvetica-Normal" w:hAnsi="Helvetica-Normal" w:cs="Arial"/>
          <w:b/>
          <w:sz w:val="20"/>
          <w:szCs w:val="20"/>
        </w:rPr>
        <w:t>El adjudicado deberá cumplir las siguientes condiciones de servicio:</w:t>
      </w:r>
    </w:p>
    <w:p w14:paraId="3B29AD9E" w14:textId="3FAE1215" w:rsidR="008C5F60" w:rsidRPr="00196717" w:rsidRDefault="00AE52AD"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Entregar por cada vehículo (140</w:t>
      </w:r>
      <w:r w:rsidR="008C5F60" w:rsidRPr="00196717">
        <w:rPr>
          <w:rFonts w:ascii="Helvetica-Normal" w:hAnsi="Helvetica-Normal" w:cs="Arial"/>
          <w:sz w:val="20"/>
          <w:szCs w:val="20"/>
        </w:rPr>
        <w:t>) dos tantos de la póliza en original, y 14</w:t>
      </w:r>
      <w:r w:rsidRPr="00196717">
        <w:rPr>
          <w:rFonts w:ascii="Helvetica-Normal" w:hAnsi="Helvetica-Normal" w:cs="Arial"/>
          <w:sz w:val="20"/>
          <w:szCs w:val="20"/>
        </w:rPr>
        <w:t>0</w:t>
      </w:r>
      <w:r w:rsidR="008C5F60" w:rsidRPr="00196717">
        <w:rPr>
          <w:rFonts w:ascii="Helvetica-Normal" w:hAnsi="Helvetica-Normal" w:cs="Arial"/>
          <w:sz w:val="20"/>
          <w:szCs w:val="20"/>
        </w:rPr>
        <w:t xml:space="preserve"> tantos las condiciones generales del seguro.</w:t>
      </w:r>
    </w:p>
    <w:p w14:paraId="48F6536D"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 xml:space="preserve">La aplicación de la </w:t>
      </w:r>
      <w:r w:rsidRPr="00196717">
        <w:rPr>
          <w:rFonts w:ascii="Helvetica-Normal" w:hAnsi="Helvetica-Normal"/>
          <w:sz w:val="20"/>
          <w:szCs w:val="20"/>
        </w:rPr>
        <w:t>territorialidad</w:t>
      </w:r>
      <w:r w:rsidRPr="00196717">
        <w:rPr>
          <w:rFonts w:ascii="Helvetica-Normal" w:hAnsi="Helvetica-Normal" w:cs="Arial"/>
          <w:sz w:val="20"/>
          <w:szCs w:val="20"/>
        </w:rPr>
        <w:t xml:space="preserve"> de las coberturas amparadas se extiende a todas las entidades federativas y municipios que conforman el territorio nacional. </w:t>
      </w:r>
    </w:p>
    <w:p w14:paraId="2CEB4BF3"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lastRenderedPageBreak/>
        <w:t>La aseguradora adjudicada deberá entregar reportes mensuales de siniestralidad de los mismos a más tardar dentro de los diez primeros días (naturales) de cada mes por cada bloque.</w:t>
      </w:r>
    </w:p>
    <w:p w14:paraId="59CD6A77"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Para la Cobertura 3 deberán contar con taller especializado en servicio comprobable</w:t>
      </w:r>
    </w:p>
    <w:p w14:paraId="387A321F"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Para la Cobertura 4 deberán contar con taller especializado en servicio pesado comprobable y así mismo se requiere que las unidades se encuentren debidamente resguardadas en un predio cerrado.</w:t>
      </w:r>
    </w:p>
    <w:p w14:paraId="42E18F67"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Para todas las coberturas no se pagará ningún excedente adicional en el rubro de responsabilidad civil.</w:t>
      </w:r>
    </w:p>
    <w:p w14:paraId="62472879"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En el caso de que la aseguradora al entregar las pólizas; estas tengan errores u omisiones (datos de vehículos o datos fiscales); tendrá que sustituirlas sin costo alguno.</w:t>
      </w:r>
    </w:p>
    <w:p w14:paraId="5EE8A3CA"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Deberá contar con una plantilla mínima de 15 ajustadores con experiencia comprobable y con conocimiento pleno de la cuenta y cobertura que representa la cobertura 4.</w:t>
      </w:r>
    </w:p>
    <w:p w14:paraId="1DE06390"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Los ajustadores, así como el personal de asistencia legal, deberán depender laboralmente de la empresa contratada, evitando la subcontratación de empresas prestadoras de este tipo de servicios.</w:t>
      </w:r>
    </w:p>
    <w:p w14:paraId="4458435C"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Deberán contar con la figura de coordinador de siniestros, con la finalidad de estandarizar los procesos de comunicación y atención con una sola persona.</w:t>
      </w:r>
    </w:p>
    <w:p w14:paraId="091CF52B"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 xml:space="preserve">La aplicación de la </w:t>
      </w:r>
      <w:r w:rsidRPr="00196717">
        <w:rPr>
          <w:rFonts w:ascii="Helvetica-Normal" w:hAnsi="Helvetica-Normal" w:cs="Helvetica"/>
          <w:sz w:val="20"/>
          <w:szCs w:val="20"/>
        </w:rPr>
        <w:t>territorialidad</w:t>
      </w:r>
      <w:r w:rsidRPr="00196717">
        <w:rPr>
          <w:rFonts w:ascii="Helvetica-Normal" w:hAnsi="Helvetica-Normal" w:cs="Arial"/>
          <w:sz w:val="20"/>
          <w:szCs w:val="20"/>
        </w:rPr>
        <w:t xml:space="preserve"> de las coberturas amparadas se extiende a todas las entidades federativas y municipios que conforman el territorio nacional. </w:t>
      </w:r>
    </w:p>
    <w:p w14:paraId="36F636CF"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En seguimiento a los reportes de siniestralidad, la empresa contratada otorgará un programa de prevención de riesgos, el cual contenga las medidas generales para garantizar su reducción,</w:t>
      </w:r>
    </w:p>
    <w:p w14:paraId="1EA161EB"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Capacitación en materia de prevención de siniestros y aplicación de proceso del seguro, a los operadores y mandos medios, en las instalaciones de la Universidad Autónoma del Estado de Hidalgo, sin costo extra para el asegurado.</w:t>
      </w:r>
    </w:p>
    <w:p w14:paraId="3036291F"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Para la Cobertura 4 deberán contar con taller especializado en servicio pesado comprobable, el cual deberá cumplir con las siguientes condiciones:</w:t>
      </w:r>
    </w:p>
    <w:p w14:paraId="28D45F4F" w14:textId="77777777" w:rsidR="008C5F60" w:rsidRPr="00196717"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Los talleres no podrán ubicarse a más de 20 kilómetros de distancia del patio de maniobras de la UAEH.</w:t>
      </w:r>
    </w:p>
    <w:p w14:paraId="76591364" w14:textId="77777777" w:rsidR="008C5F60" w:rsidRPr="00196717"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La infraestructura de los talleres deberá permitir que las unidades queden resguardadas dentro de la propiedad, sin que represente vulnerabilidad para los activos en cuestión.</w:t>
      </w:r>
    </w:p>
    <w:p w14:paraId="5249DE49" w14:textId="77777777" w:rsidR="008C5F60" w:rsidRPr="00196717"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El proveedor deberá entregar una lista de los talleres especializados en servicio pesado con los que tiene convenio.</w:t>
      </w:r>
    </w:p>
    <w:p w14:paraId="76E17334" w14:textId="77777777" w:rsidR="008C5F60" w:rsidRPr="00196717"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En el caso de atención a cristales dañados, deberán atenderse con proveedores cuyo giro es únicamente la comercialización de parabrisas, y estos eventos deberán ser atendidos en el patio de maniobras de la UAEH, o garantizar que el taller posee la infraestructura necesaria para la recepción y atención a la unidad.</w:t>
      </w:r>
    </w:p>
    <w:p w14:paraId="420D862E" w14:textId="77777777" w:rsidR="008C5F60" w:rsidRPr="00196717"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196717">
        <w:rPr>
          <w:rFonts w:ascii="Helvetica-Normal" w:hAnsi="Helvetica-Normal" w:cs="Arial"/>
          <w:sz w:val="20"/>
          <w:szCs w:val="20"/>
        </w:rPr>
        <w:t>Si durante la vigencia de la póliza contratada, existiera un incremento al parque vehicular, el cual no tuviera póliza contratada, se deberán respetar las condiciones pactadas en dicha contratación, para su anexo posterior.</w:t>
      </w:r>
    </w:p>
    <w:p w14:paraId="4D12EFA0" w14:textId="3626034B" w:rsidR="00206DBE" w:rsidRPr="008C5F60" w:rsidRDefault="00206DBE" w:rsidP="008C5F60">
      <w:bookmarkStart w:id="1" w:name="_GoBack"/>
      <w:bookmarkEnd w:id="1"/>
    </w:p>
    <w:sectPr w:rsidR="00206DBE" w:rsidRPr="008C5F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ormal">
    <w:altName w:val="Helvetica"/>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5FC0"/>
    <w:multiLevelType w:val="hybridMultilevel"/>
    <w:tmpl w:val="54D4C980"/>
    <w:lvl w:ilvl="0" w:tplc="080A0017">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DF00E8"/>
    <w:multiLevelType w:val="hybridMultilevel"/>
    <w:tmpl w:val="2E54BD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CE3C43"/>
    <w:multiLevelType w:val="hybridMultilevel"/>
    <w:tmpl w:val="88B62582"/>
    <w:lvl w:ilvl="0" w:tplc="F11A09F0">
      <w:start w:val="1"/>
      <w:numFmt w:val="lowerLetter"/>
      <w:lvlText w:val="%1)"/>
      <w:lvlJc w:val="left"/>
      <w:pPr>
        <w:ind w:left="1800" w:hanging="360"/>
      </w:pPr>
      <w:rPr>
        <w:rFonts w:cs="Times New Roman" w:hint="default"/>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3" w15:restartNumberingAfterBreak="0">
    <w:nsid w:val="4F246F5C"/>
    <w:multiLevelType w:val="hybridMultilevel"/>
    <w:tmpl w:val="CCBCF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B8284E"/>
    <w:multiLevelType w:val="hybridMultilevel"/>
    <w:tmpl w:val="2E54BD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3B2A16"/>
    <w:multiLevelType w:val="multilevel"/>
    <w:tmpl w:val="95F2C9E6"/>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671D1972"/>
    <w:multiLevelType w:val="hybridMultilevel"/>
    <w:tmpl w:val="C3869818"/>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4"/>
    <w:rsid w:val="00005E49"/>
    <w:rsid w:val="0006303A"/>
    <w:rsid w:val="000A30AB"/>
    <w:rsid w:val="00136A54"/>
    <w:rsid w:val="00196717"/>
    <w:rsid w:val="001E4510"/>
    <w:rsid w:val="00206DBE"/>
    <w:rsid w:val="0024174D"/>
    <w:rsid w:val="00257999"/>
    <w:rsid w:val="002D3654"/>
    <w:rsid w:val="002E3355"/>
    <w:rsid w:val="0034537B"/>
    <w:rsid w:val="003F2C74"/>
    <w:rsid w:val="00441410"/>
    <w:rsid w:val="00447535"/>
    <w:rsid w:val="00522BA2"/>
    <w:rsid w:val="005C4FBF"/>
    <w:rsid w:val="005E676F"/>
    <w:rsid w:val="00656CB9"/>
    <w:rsid w:val="006D4C91"/>
    <w:rsid w:val="007044C2"/>
    <w:rsid w:val="00790C97"/>
    <w:rsid w:val="007949B1"/>
    <w:rsid w:val="00813A0A"/>
    <w:rsid w:val="00854A8E"/>
    <w:rsid w:val="008613F5"/>
    <w:rsid w:val="008707E5"/>
    <w:rsid w:val="00893B21"/>
    <w:rsid w:val="008C5F60"/>
    <w:rsid w:val="00995A16"/>
    <w:rsid w:val="00A6594F"/>
    <w:rsid w:val="00AE3AF3"/>
    <w:rsid w:val="00AE52AD"/>
    <w:rsid w:val="00AF7857"/>
    <w:rsid w:val="00CB26A9"/>
    <w:rsid w:val="00D21F51"/>
    <w:rsid w:val="00E66D96"/>
    <w:rsid w:val="00EA1334"/>
    <w:rsid w:val="00EB0E92"/>
    <w:rsid w:val="00F2254C"/>
    <w:rsid w:val="00F254C5"/>
    <w:rsid w:val="00F91C71"/>
    <w:rsid w:val="00F94163"/>
    <w:rsid w:val="00FF3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D3A0"/>
  <w15:chartTrackingRefBased/>
  <w15:docId w15:val="{27CCB3F0-C71A-4061-8DC4-C189A496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74"/>
    <w:rPr>
      <w:rFonts w:eastAsiaTheme="minorEastAsia" w:cs="Times New Roman"/>
      <w:lang w:val="es-ES" w:eastAsia="es-ES"/>
    </w:rPr>
  </w:style>
  <w:style w:type="paragraph" w:styleId="Ttulo1">
    <w:name w:val="heading 1"/>
    <w:basedOn w:val="Normal"/>
    <w:next w:val="Normal"/>
    <w:link w:val="Ttulo1Car"/>
    <w:uiPriority w:val="9"/>
    <w:qFormat/>
    <w:rsid w:val="008C5F60"/>
    <w:pPr>
      <w:keepNext/>
      <w:keepLines/>
      <w:spacing w:before="240" w:after="0"/>
      <w:outlineLvl w:val="0"/>
    </w:pPr>
    <w:rPr>
      <w:rFonts w:asciiTheme="majorHAnsi" w:eastAsiaTheme="majorEastAsia" w:hAnsiTheme="majorHAnsi" w:cstheme="majorBidi"/>
      <w:color w:val="000000" w:themeColor="text1"/>
      <w:sz w:val="32"/>
      <w:szCs w:val="3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2E3355"/>
    <w:pPr>
      <w:ind w:left="720"/>
      <w:contextualSpacing/>
    </w:pPr>
  </w:style>
  <w:style w:type="paragraph" w:styleId="Textodeglobo">
    <w:name w:val="Balloon Text"/>
    <w:basedOn w:val="Normal"/>
    <w:link w:val="TextodegloboCar"/>
    <w:uiPriority w:val="99"/>
    <w:semiHidden/>
    <w:unhideWhenUsed/>
    <w:rsid w:val="00EB0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E92"/>
    <w:rPr>
      <w:rFonts w:ascii="Segoe UI" w:eastAsiaTheme="minorEastAsia" w:hAnsi="Segoe UI" w:cs="Segoe UI"/>
      <w:sz w:val="18"/>
      <w:szCs w:val="18"/>
      <w:lang w:val="es-ES" w:eastAsia="es-ES"/>
    </w:rPr>
  </w:style>
  <w:style w:type="table" w:styleId="Tablaconcuadrcula">
    <w:name w:val="Table Grid"/>
    <w:basedOn w:val="Tablanormal"/>
    <w:uiPriority w:val="39"/>
    <w:rsid w:val="00F9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link w:val="Prrafodelista"/>
    <w:uiPriority w:val="34"/>
    <w:qFormat/>
    <w:locked/>
    <w:rsid w:val="00813A0A"/>
    <w:rPr>
      <w:rFonts w:eastAsiaTheme="minorEastAsia" w:cs="Times New Roman"/>
      <w:lang w:val="es-ES" w:eastAsia="es-ES"/>
    </w:rPr>
  </w:style>
  <w:style w:type="character" w:customStyle="1" w:styleId="Ttulo1Car">
    <w:name w:val="Título 1 Car"/>
    <w:basedOn w:val="Fuentedeprrafopredeter"/>
    <w:link w:val="Ttulo1"/>
    <w:uiPriority w:val="9"/>
    <w:rsid w:val="008C5F60"/>
    <w:rPr>
      <w:rFonts w:asciiTheme="majorHAnsi" w:eastAsiaTheme="majorEastAsia" w:hAnsiTheme="majorHAnsi"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5751">
      <w:bodyDiv w:val="1"/>
      <w:marLeft w:val="0"/>
      <w:marRight w:val="0"/>
      <w:marTop w:val="0"/>
      <w:marBottom w:val="0"/>
      <w:divBdr>
        <w:top w:val="none" w:sz="0" w:space="0" w:color="auto"/>
        <w:left w:val="none" w:sz="0" w:space="0" w:color="auto"/>
        <w:bottom w:val="none" w:sz="0" w:space="0" w:color="auto"/>
        <w:right w:val="none" w:sz="0" w:space="0" w:color="auto"/>
      </w:divBdr>
    </w:div>
    <w:div w:id="1045062327">
      <w:bodyDiv w:val="1"/>
      <w:marLeft w:val="0"/>
      <w:marRight w:val="0"/>
      <w:marTop w:val="0"/>
      <w:marBottom w:val="0"/>
      <w:divBdr>
        <w:top w:val="none" w:sz="0" w:space="0" w:color="auto"/>
        <w:left w:val="none" w:sz="0" w:space="0" w:color="auto"/>
        <w:bottom w:val="none" w:sz="0" w:space="0" w:color="auto"/>
        <w:right w:val="none" w:sz="0" w:space="0" w:color="auto"/>
      </w:divBdr>
    </w:div>
    <w:div w:id="11103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914</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Rodriguez Gutierrez</dc:creator>
  <cp:keywords/>
  <dc:description/>
  <cp:lastModifiedBy>Adriana Jocelyn Saldaña Cortes</cp:lastModifiedBy>
  <cp:revision>9</cp:revision>
  <cp:lastPrinted>2022-01-21T18:18:00Z</cp:lastPrinted>
  <dcterms:created xsi:type="dcterms:W3CDTF">2023-05-12T17:16:00Z</dcterms:created>
  <dcterms:modified xsi:type="dcterms:W3CDTF">2023-06-29T00:22:00Z</dcterms:modified>
</cp:coreProperties>
</file>